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FC" w:rsidRPr="000846FC" w:rsidRDefault="000846FC" w:rsidP="000846FC">
      <w:pPr>
        <w:pStyle w:val="Default"/>
        <w:spacing w:line="360" w:lineRule="auto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p w:rsid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0846FC">
        <w:rPr>
          <w:rFonts w:ascii="Times New Roman" w:hAnsi="Times New Roman" w:cs="Times New Roman"/>
        </w:rPr>
        <w:t xml:space="preserve">Anatomija gingive </w:t>
      </w:r>
    </w:p>
    <w:p w:rsidR="00E57D0A" w:rsidRPr="000846FC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0846FC">
        <w:rPr>
          <w:rFonts w:ascii="Times New Roman" w:hAnsi="Times New Roman" w:cs="Times New Roman"/>
        </w:rPr>
        <w:t xml:space="preserve">Histologija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0846FC">
        <w:rPr>
          <w:rFonts w:ascii="Times New Roman" w:hAnsi="Times New Roman" w:cs="Times New Roman"/>
        </w:rPr>
        <w:t xml:space="preserve">Funkcija gingive i gingivalna tečnost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Pripojni epitel i epitelni propoj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Anomalije alveolarne kosti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Histologija i funkcija alveolarne kosti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Anatomija periodoncijuma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Histologija periodoncijuma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Funkcija periodoncijuma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Anatomija i histologija cementa kor</w:t>
      </w:r>
      <w:r>
        <w:rPr>
          <w:rFonts w:ascii="Times New Roman" w:hAnsi="Times New Roman" w:cs="Times New Roman"/>
          <w:lang w:val="it-IT"/>
        </w:rPr>
        <w:t>ij</w:t>
      </w:r>
      <w:r w:rsidRPr="000846FC">
        <w:rPr>
          <w:rFonts w:ascii="Times New Roman" w:hAnsi="Times New Roman" w:cs="Times New Roman"/>
          <w:lang w:val="it-IT"/>
        </w:rPr>
        <w:t xml:space="preserve">ena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Funkcije cementa kor</w:t>
      </w:r>
      <w:r>
        <w:rPr>
          <w:rFonts w:ascii="Times New Roman" w:hAnsi="Times New Roman" w:cs="Times New Roman"/>
          <w:lang w:val="it-IT"/>
        </w:rPr>
        <w:t>ij</w:t>
      </w:r>
      <w:r w:rsidRPr="000846FC">
        <w:rPr>
          <w:rFonts w:ascii="Times New Roman" w:hAnsi="Times New Roman" w:cs="Times New Roman"/>
          <w:lang w:val="it-IT"/>
        </w:rPr>
        <w:t xml:space="preserve">ena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Uloga dentalnog biofilma</w:t>
      </w:r>
      <w:r w:rsidRPr="000846FC">
        <w:rPr>
          <w:rFonts w:ascii="Times New Roman" w:hAnsi="Times New Roman" w:cs="Times New Roman"/>
          <w:lang w:val="it-IT"/>
        </w:rPr>
        <w:t xml:space="preserve"> u etiopatogenezi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Dentalni biofilm–</w:t>
      </w:r>
      <w:r w:rsidRPr="000846FC">
        <w:rPr>
          <w:rFonts w:ascii="Times New Roman" w:hAnsi="Times New Roman" w:cs="Times New Roman"/>
          <w:lang w:val="it-IT"/>
        </w:rPr>
        <w:t xml:space="preserve">definicija, formiranje i identifikacija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Dentalni biofilm-</w:t>
      </w:r>
      <w:r w:rsidRPr="000846FC">
        <w:rPr>
          <w:rFonts w:ascii="Times New Roman" w:hAnsi="Times New Roman" w:cs="Times New Roman"/>
          <w:lang w:val="it-IT"/>
        </w:rPr>
        <w:t xml:space="preserve">sastav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Dentalni </w:t>
      </w:r>
      <w:r>
        <w:rPr>
          <w:rFonts w:ascii="Times New Roman" w:hAnsi="Times New Roman" w:cs="Times New Roman"/>
          <w:lang w:val="it-IT"/>
        </w:rPr>
        <w:t>biofilm</w:t>
      </w:r>
      <w:r w:rsidRPr="000846FC">
        <w:rPr>
          <w:rFonts w:ascii="Times New Roman" w:hAnsi="Times New Roman" w:cs="Times New Roman"/>
          <w:lang w:val="it-IT"/>
        </w:rPr>
        <w:t xml:space="preserve">-mikrobiologija </w:t>
      </w:r>
    </w:p>
    <w:p w:rsidR="00E57D0A" w:rsidRPr="000846FC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Mehanizmi d</w:t>
      </w:r>
      <w:r>
        <w:rPr>
          <w:rFonts w:ascii="Times New Roman" w:hAnsi="Times New Roman" w:cs="Times New Roman"/>
          <w:lang w:val="it-IT"/>
        </w:rPr>
        <w:t xml:space="preserve">jelovanje dentalnog biofilma </w:t>
      </w:r>
      <w:r w:rsidRPr="000846FC">
        <w:rPr>
          <w:rFonts w:ascii="Times New Roman" w:hAnsi="Times New Roman" w:cs="Times New Roman"/>
          <w:lang w:val="it-IT"/>
        </w:rPr>
        <w:t xml:space="preserve">na parodoncijum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Pod</w:t>
      </w:r>
      <w:r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 xml:space="preserve">ela i metode za otkrivanje i identifikaciju dentalnog </w:t>
      </w:r>
      <w:r>
        <w:rPr>
          <w:rFonts w:ascii="Times New Roman" w:hAnsi="Times New Roman" w:cs="Times New Roman"/>
          <w:lang w:val="it-IT"/>
        </w:rPr>
        <w:t>biofilma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Etiologija parodont</w:t>
      </w:r>
      <w:r>
        <w:rPr>
          <w:rFonts w:ascii="Times New Roman" w:hAnsi="Times New Roman" w:cs="Times New Roman"/>
          <w:lang w:val="it-IT"/>
        </w:rPr>
        <w:t>opatija-Naslage na zubima-</w:t>
      </w:r>
      <w:r w:rsidRPr="000846FC">
        <w:rPr>
          <w:rFonts w:ascii="Times New Roman" w:hAnsi="Times New Roman" w:cs="Times New Roman"/>
          <w:lang w:val="it-IT"/>
        </w:rPr>
        <w:t xml:space="preserve">materija alba, pigmentacije </w:t>
      </w:r>
      <w:r>
        <w:rPr>
          <w:rFonts w:ascii="Times New Roman" w:hAnsi="Times New Roman" w:cs="Times New Roman"/>
          <w:lang w:val="it-IT"/>
        </w:rPr>
        <w:t xml:space="preserve">na </w:t>
      </w:r>
      <w:r w:rsidRPr="000846FC">
        <w:rPr>
          <w:rFonts w:ascii="Times New Roman" w:hAnsi="Times New Roman" w:cs="Times New Roman"/>
          <w:lang w:val="it-IT"/>
        </w:rPr>
        <w:t>zub</w:t>
      </w:r>
      <w:r>
        <w:rPr>
          <w:rFonts w:ascii="Times New Roman" w:hAnsi="Times New Roman" w:cs="Times New Roman"/>
          <w:lang w:val="it-IT"/>
        </w:rPr>
        <w:t>im</w:t>
      </w:r>
      <w:r w:rsidRPr="000846FC">
        <w:rPr>
          <w:rFonts w:ascii="Times New Roman" w:hAnsi="Times New Roman" w:cs="Times New Roman"/>
          <w:lang w:val="it-IT"/>
        </w:rPr>
        <w:t xml:space="preserve">a, kamenac i subgingivalni konkrementi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Mukogingivalne anomalije–</w:t>
      </w:r>
      <w:r w:rsidRPr="000846FC">
        <w:rPr>
          <w:rFonts w:ascii="Times New Roman" w:hAnsi="Times New Roman" w:cs="Times New Roman"/>
          <w:lang w:val="it-IT"/>
        </w:rPr>
        <w:t>tipovi i pod</w:t>
      </w:r>
      <w:r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 xml:space="preserve">ela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Mukogingivalne anomalije–</w:t>
      </w:r>
      <w:r w:rsidRPr="000846FC">
        <w:rPr>
          <w:rFonts w:ascii="Times New Roman" w:hAnsi="Times New Roman" w:cs="Times New Roman"/>
          <w:lang w:val="it-IT"/>
        </w:rPr>
        <w:t xml:space="preserve">etiopatogenetski aspekti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Anatomske anomalije, loše navike i impakcija hrane u etiologiji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Jatrogeni faktori, karijes zuba i lezije gingive u etiologiji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Opšti faktori u etiologiji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manifestacije sistemskih bolesti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manifestacije lokalnih bolesti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mannifestacije neželjenog dejstva medikamenata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AIDS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endokrine bolesti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Parodoncijum i hematološke bolesti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Starenje i parodoncijum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Opšte zdravstveno stanje starih i njegov uticaj na stanje potpornog aparata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Faktori rizika za nastanak i razvoj oboljenja parodoncijuma starih </w:t>
      </w:r>
    </w:p>
    <w:p w:rsidR="00E57D0A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E57D0A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lastRenderedPageBreak/>
        <w:t xml:space="preserve">Klasifikacija gingivitisa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 xml:space="preserve">Klasifikacija parodontopatija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>Agresivna parodontopatija</w:t>
      </w:r>
    </w:p>
    <w:p w:rsidR="00E57D0A" w:rsidRPr="00E57D0A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 xml:space="preserve">Lokalizovana forma agresivneparodontopatije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 xml:space="preserve">Generalizovana formaagresivneparodontopatije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 xml:space="preserve">Prepubertetska parodontopatija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E57D0A">
        <w:rPr>
          <w:rFonts w:ascii="Times New Roman" w:hAnsi="Times New Roman" w:cs="Times New Roman"/>
          <w:lang w:val="sl-SI"/>
        </w:rPr>
        <w:t xml:space="preserve">Akutna nekrotično ulcerozna parodontopatija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AB6354">
        <w:rPr>
          <w:rFonts w:ascii="Times New Roman" w:hAnsi="Times New Roman" w:cs="Times New Roman"/>
          <w:lang w:val="sl-SI"/>
        </w:rPr>
        <w:t xml:space="preserve">Dijagnoza i diferencijalna dijagnoza lokalizovanog i generalizovanog oblika agresivne parodontopatije </w:t>
      </w:r>
    </w:p>
    <w:p w:rsidR="00E57D0A" w:rsidRPr="00AB6354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Faktori rizika za nastanak agresivne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Klinička slika parodontopatije - Inflamacija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Klasifikacija uvećanja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Inflamatorna uvećanja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Fibrozna uvećanja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Uvećanja gingive udružena sa sistemskim bolestima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Uvećanja gingive udružena sa sistemskim stanjima </w:t>
      </w:r>
    </w:p>
    <w:p w:rsidR="000846FC" w:rsidRPr="000846FC" w:rsidRDefault="000846FC" w:rsidP="000846FC">
      <w:pPr>
        <w:pStyle w:val="Default"/>
        <w:spacing w:line="360" w:lineRule="auto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Tumori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Klinička slika parodontopatije</w:t>
      </w:r>
      <w:r w:rsidRPr="000846FC">
        <w:rPr>
          <w:rFonts w:ascii="Times New Roman" w:hAnsi="Times New Roman" w:cs="Times New Roman"/>
          <w:lang w:val="it-IT"/>
        </w:rPr>
        <w:t>–Destrukcija gingive, ogolićenje kor</w:t>
      </w:r>
      <w:r>
        <w:rPr>
          <w:rFonts w:ascii="Times New Roman" w:hAnsi="Times New Roman" w:cs="Times New Roman"/>
          <w:lang w:val="it-IT"/>
        </w:rPr>
        <w:t>ij</w:t>
      </w:r>
      <w:r w:rsidRPr="000846FC">
        <w:rPr>
          <w:rFonts w:ascii="Times New Roman" w:hAnsi="Times New Roman" w:cs="Times New Roman"/>
          <w:lang w:val="it-IT"/>
        </w:rPr>
        <w:t xml:space="preserve">ena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Klinička slika parodontopatije</w:t>
      </w:r>
      <w:r w:rsidRPr="000846FC">
        <w:rPr>
          <w:rFonts w:ascii="Times New Roman" w:hAnsi="Times New Roman" w:cs="Times New Roman"/>
          <w:lang w:val="it-IT"/>
        </w:rPr>
        <w:t xml:space="preserve">–Parodontalni džepovi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Klinič</w:t>
      </w:r>
      <w:r>
        <w:rPr>
          <w:rFonts w:ascii="Times New Roman" w:hAnsi="Times New Roman" w:cs="Times New Roman"/>
          <w:lang w:val="it-IT"/>
        </w:rPr>
        <w:t>ka slika parodontopatije</w:t>
      </w:r>
      <w:r w:rsidRPr="000846FC">
        <w:rPr>
          <w:rFonts w:ascii="Times New Roman" w:hAnsi="Times New Roman" w:cs="Times New Roman"/>
          <w:lang w:val="it-IT"/>
        </w:rPr>
        <w:t xml:space="preserve">–Gnojni eksudat i subgingivalni konkrementi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Klinička slika parodontopatije</w:t>
      </w:r>
      <w:r w:rsidRPr="000846FC">
        <w:rPr>
          <w:rFonts w:ascii="Times New Roman" w:hAnsi="Times New Roman" w:cs="Times New Roman"/>
          <w:lang w:val="it-IT"/>
        </w:rPr>
        <w:t xml:space="preserve">–Labavljenje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Klinička slika parodontopatije–</w:t>
      </w:r>
      <w:r w:rsidRPr="000846FC">
        <w:rPr>
          <w:rFonts w:ascii="Times New Roman" w:hAnsi="Times New Roman" w:cs="Times New Roman"/>
          <w:lang w:val="it-IT"/>
        </w:rPr>
        <w:t xml:space="preserve">Patološka migracija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Klinička slika parodontopatije</w:t>
      </w:r>
      <w:r w:rsidRPr="000846FC">
        <w:rPr>
          <w:rFonts w:ascii="Times New Roman" w:hAnsi="Times New Roman" w:cs="Times New Roman"/>
          <w:lang w:val="it-IT"/>
        </w:rPr>
        <w:t>–</w:t>
      </w:r>
      <w:r>
        <w:rPr>
          <w:rFonts w:ascii="Times New Roman" w:hAnsi="Times New Roman" w:cs="Times New Roman"/>
          <w:lang w:val="it-IT"/>
        </w:rPr>
        <w:t>P</w:t>
      </w:r>
      <w:r w:rsidRPr="000846FC">
        <w:rPr>
          <w:rFonts w:ascii="Times New Roman" w:hAnsi="Times New Roman" w:cs="Times New Roman"/>
          <w:lang w:val="it-IT"/>
        </w:rPr>
        <w:t xml:space="preserve">rodromalni razvojni stadijum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Kliničk</w:t>
      </w:r>
      <w:r>
        <w:rPr>
          <w:rFonts w:ascii="Times New Roman" w:hAnsi="Times New Roman" w:cs="Times New Roman"/>
          <w:lang w:val="it-IT"/>
        </w:rPr>
        <w:t>a slika parodontopatije–P</w:t>
      </w:r>
      <w:r w:rsidRPr="000846FC">
        <w:rPr>
          <w:rFonts w:ascii="Times New Roman" w:hAnsi="Times New Roman" w:cs="Times New Roman"/>
          <w:lang w:val="it-IT"/>
        </w:rPr>
        <w:t xml:space="preserve">očetni razvojni stadijum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Kl</w:t>
      </w:r>
      <w:r>
        <w:rPr>
          <w:rFonts w:ascii="Times New Roman" w:hAnsi="Times New Roman" w:cs="Times New Roman"/>
          <w:lang w:val="it-IT"/>
        </w:rPr>
        <w:t>inička slika parodontopatije–S</w:t>
      </w:r>
      <w:r w:rsidRPr="000846FC">
        <w:rPr>
          <w:rFonts w:ascii="Times New Roman" w:hAnsi="Times New Roman" w:cs="Times New Roman"/>
          <w:lang w:val="it-IT"/>
        </w:rPr>
        <w:t xml:space="preserve">tadijum pune kliničke slike bolesti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Kl</w:t>
      </w:r>
      <w:r>
        <w:rPr>
          <w:rFonts w:ascii="Times New Roman" w:hAnsi="Times New Roman" w:cs="Times New Roman"/>
          <w:lang w:val="it-IT"/>
        </w:rPr>
        <w:t>inička slika parodontopatije–T</w:t>
      </w:r>
      <w:r w:rsidRPr="000846FC">
        <w:rPr>
          <w:rFonts w:ascii="Times New Roman" w:hAnsi="Times New Roman" w:cs="Times New Roman"/>
          <w:lang w:val="it-IT"/>
        </w:rPr>
        <w:t xml:space="preserve">erminalni razvojni stadijum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Parodontalni džep</w:t>
      </w:r>
      <w:r w:rsidRPr="000846FC">
        <w:rPr>
          <w:rFonts w:ascii="Times New Roman" w:hAnsi="Times New Roman" w:cs="Times New Roman"/>
          <w:lang w:val="it-IT"/>
        </w:rPr>
        <w:t xml:space="preserve">–dijagnoza i diferencijalna dijagnoza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Parodontalni džep - klasifikacija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Specifičnosti interradikularnih parodontalnih džepova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Suprakoštani i infrakoštani parodontalni džepovi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Recesija gingive–</w:t>
      </w:r>
      <w:r w:rsidRPr="000846FC">
        <w:rPr>
          <w:rFonts w:ascii="Times New Roman" w:hAnsi="Times New Roman" w:cs="Times New Roman"/>
          <w:lang w:val="it-IT"/>
        </w:rPr>
        <w:t xml:space="preserve">patogenetski aspekti i klasifikacija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Rendgenografija u dijagnostici i diferencijalnoj dijagnostici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Rendgenografija u određivanju prognoze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AB6354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Rendgenografija u određivanju plana terapije i praćenje terapijskih rezultata </w:t>
      </w: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Indikacije za prim</w:t>
      </w:r>
      <w:r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>enu pojedinih rendgenografskih metoda u obol</w:t>
      </w:r>
      <w:r>
        <w:rPr>
          <w:rFonts w:ascii="Times New Roman" w:hAnsi="Times New Roman" w:cs="Times New Roman"/>
          <w:lang w:val="it-IT"/>
        </w:rPr>
        <w:t>jelih od parodontopatije</w:t>
      </w:r>
      <w:r w:rsidRPr="000846FC">
        <w:rPr>
          <w:rFonts w:ascii="Times New Roman" w:hAnsi="Times New Roman" w:cs="Times New Roman"/>
          <w:lang w:val="it-IT"/>
        </w:rPr>
        <w:t xml:space="preserve">–prednosti i nedostatci pojedinih metoda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Diferencijalna dijagnoza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927A3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Patogeneza parodotopatije</w:t>
      </w:r>
      <w:r w:rsidRPr="000846FC">
        <w:rPr>
          <w:rFonts w:ascii="Times New Roman" w:hAnsi="Times New Roman" w:cs="Times New Roman"/>
          <w:lang w:val="it-IT"/>
        </w:rPr>
        <w:t>–</w:t>
      </w:r>
      <w:r w:rsidR="000846FC" w:rsidRPr="000846FC">
        <w:rPr>
          <w:rFonts w:ascii="Times New Roman" w:hAnsi="Times New Roman" w:cs="Times New Roman"/>
          <w:lang w:val="it-IT"/>
        </w:rPr>
        <w:t xml:space="preserve">mehanizmi nespecifične zaštite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Patogeneza parodontopa</w:t>
      </w:r>
      <w:r w:rsidR="00927A3C">
        <w:rPr>
          <w:rFonts w:ascii="Times New Roman" w:hAnsi="Times New Roman" w:cs="Times New Roman"/>
          <w:lang w:val="it-IT"/>
        </w:rPr>
        <w:t>tije</w:t>
      </w:r>
      <w:r w:rsidR="00927A3C" w:rsidRPr="000846FC">
        <w:rPr>
          <w:rFonts w:ascii="Times New Roman" w:hAnsi="Times New Roman" w:cs="Times New Roman"/>
          <w:lang w:val="it-IT"/>
        </w:rPr>
        <w:t>–</w:t>
      </w:r>
      <w:r w:rsidRPr="000846FC">
        <w:rPr>
          <w:rFonts w:ascii="Times New Roman" w:hAnsi="Times New Roman" w:cs="Times New Roman"/>
          <w:lang w:val="it-IT"/>
        </w:rPr>
        <w:t xml:space="preserve">mehanizmi specifične zaštite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Lokalni i sistemski imuni odgovor parodoncijuma tokom patogeneze parodontopatija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927A3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Patogeneza parodotopatije</w:t>
      </w:r>
      <w:r w:rsidRPr="000846FC">
        <w:rPr>
          <w:rFonts w:ascii="Times New Roman" w:hAnsi="Times New Roman" w:cs="Times New Roman"/>
          <w:lang w:val="it-IT"/>
        </w:rPr>
        <w:t>–</w:t>
      </w:r>
      <w:r w:rsidR="000846FC" w:rsidRPr="000846FC">
        <w:rPr>
          <w:rFonts w:ascii="Times New Roman" w:hAnsi="Times New Roman" w:cs="Times New Roman"/>
          <w:lang w:val="it-IT"/>
        </w:rPr>
        <w:t xml:space="preserve">gingiva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927A3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Patogeneza parodotopatije</w:t>
      </w:r>
      <w:r w:rsidRPr="000846FC">
        <w:rPr>
          <w:rFonts w:ascii="Times New Roman" w:hAnsi="Times New Roman" w:cs="Times New Roman"/>
          <w:lang w:val="it-IT"/>
        </w:rPr>
        <w:t>–</w:t>
      </w:r>
      <w:r w:rsidR="000846FC" w:rsidRPr="000846FC">
        <w:rPr>
          <w:rFonts w:ascii="Times New Roman" w:hAnsi="Times New Roman" w:cs="Times New Roman"/>
          <w:lang w:val="it-IT"/>
        </w:rPr>
        <w:t xml:space="preserve">periodoncijum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927A3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Patogeneza parodotopatije</w:t>
      </w:r>
      <w:r w:rsidRPr="000846FC">
        <w:rPr>
          <w:rFonts w:ascii="Times New Roman" w:hAnsi="Times New Roman" w:cs="Times New Roman"/>
          <w:lang w:val="it-IT"/>
        </w:rPr>
        <w:t>–</w:t>
      </w:r>
      <w:r w:rsidR="000846FC" w:rsidRPr="000846FC">
        <w:rPr>
          <w:rFonts w:ascii="Times New Roman" w:hAnsi="Times New Roman" w:cs="Times New Roman"/>
          <w:lang w:val="it-IT"/>
        </w:rPr>
        <w:t xml:space="preserve">alveolarna kost i cement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Formiranje gingivalnog i parodontalnog džepa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Diferencijalna dijagnoza gingivalnog i parodontalnog džepa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Prodromalni i početni stadijumi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Juvenilna parodontopatija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Komplikacije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Parodontalni apsces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Akutni parodontalnih apsces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Definicija, klasifikacija i etiologija parodontalnog apcesa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AB6354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Retrogradni pulpitis (definicija, etiologija, dijagnoza, diferencijalna dijagnoza) </w:t>
      </w: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Plan terapije oboljenja potpornog aparata zuba u starih osoba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lastRenderedPageBreak/>
        <w:t xml:space="preserve">Opšte zdravstveno stanje starih i preventiva oboljenja potprnog aparata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Epidemiologija oboljenja parodoncijuma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Indeksi dentalnog plaka, zubnog kamenca i labavljenja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Indeksi za proc</w:t>
      </w:r>
      <w:r w:rsidR="00927A3C"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 xml:space="preserve">enu stanja gingive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Indeksi za proc</w:t>
      </w:r>
      <w:r w:rsidR="00927A3C"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 xml:space="preserve">enu stanja dubljih parodontalnih tkiva (parodontalni indeksi)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C.P.I.T.N.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Utvrđivanje prognoze parodontopatije </w:t>
      </w:r>
    </w:p>
    <w:p w:rsidR="00E57D0A" w:rsidRPr="00B421A5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</w:p>
    <w:p w:rsidR="000846FC" w:rsidRPr="00B421A5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B421A5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B421A5">
        <w:rPr>
          <w:rFonts w:ascii="Times New Roman" w:hAnsi="Times New Roman" w:cs="Times New Roman"/>
          <w:lang w:val="sl-SI"/>
        </w:rPr>
        <w:t>Plan l</w:t>
      </w:r>
      <w:r w:rsidR="00927A3C" w:rsidRPr="00B421A5">
        <w:rPr>
          <w:rFonts w:ascii="Times New Roman" w:hAnsi="Times New Roman" w:cs="Times New Roman"/>
          <w:lang w:val="sl-SI"/>
        </w:rPr>
        <w:t>ij</w:t>
      </w:r>
      <w:r w:rsidRPr="00B421A5">
        <w:rPr>
          <w:rFonts w:ascii="Times New Roman" w:hAnsi="Times New Roman" w:cs="Times New Roman"/>
          <w:lang w:val="sl-SI"/>
        </w:rPr>
        <w:t xml:space="preserve">ečenja parodontopatija </w:t>
      </w:r>
    </w:p>
    <w:p w:rsidR="000846FC" w:rsidRPr="00B421A5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B421A5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B421A5">
        <w:rPr>
          <w:rFonts w:ascii="Times New Roman" w:hAnsi="Times New Roman" w:cs="Times New Roman"/>
          <w:lang w:val="sl-SI"/>
        </w:rPr>
        <w:t>Medikamenti u terapiji parodontopatije (antiseptična sredstva, anestetici, sredstva za smanjenje osetljivosti kor</w:t>
      </w:r>
      <w:r w:rsidR="00927A3C" w:rsidRPr="00B421A5">
        <w:rPr>
          <w:rFonts w:ascii="Times New Roman" w:hAnsi="Times New Roman" w:cs="Times New Roman"/>
          <w:lang w:val="sl-SI"/>
        </w:rPr>
        <w:t>ij</w:t>
      </w:r>
      <w:r w:rsidRPr="00B421A5">
        <w:rPr>
          <w:rFonts w:ascii="Times New Roman" w:hAnsi="Times New Roman" w:cs="Times New Roman"/>
          <w:lang w:val="sl-SI"/>
        </w:rPr>
        <w:t xml:space="preserve">ena zuba) </w:t>
      </w:r>
    </w:p>
    <w:p w:rsidR="000846FC" w:rsidRPr="00B421A5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B421A5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B421A5">
        <w:rPr>
          <w:rFonts w:ascii="Times New Roman" w:hAnsi="Times New Roman" w:cs="Times New Roman"/>
          <w:lang w:val="sl-SI"/>
        </w:rPr>
        <w:t>Hemijska sredstv</w:t>
      </w:r>
      <w:r w:rsidR="00927A3C" w:rsidRPr="00B421A5">
        <w:rPr>
          <w:rFonts w:ascii="Times New Roman" w:hAnsi="Times New Roman" w:cs="Times New Roman"/>
          <w:lang w:val="sl-SI"/>
        </w:rPr>
        <w:t>a za održavanje oralne higijene</w:t>
      </w:r>
    </w:p>
    <w:p w:rsidR="000846FC" w:rsidRPr="00B421A5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B421A5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sl-SI"/>
        </w:rPr>
      </w:pPr>
      <w:r w:rsidRPr="00B421A5">
        <w:rPr>
          <w:rFonts w:ascii="Times New Roman" w:hAnsi="Times New Roman" w:cs="Times New Roman"/>
          <w:lang w:val="sl-SI"/>
        </w:rPr>
        <w:t>Fizikalne metode u l</w:t>
      </w:r>
      <w:r w:rsidR="00927A3C" w:rsidRPr="00B421A5">
        <w:rPr>
          <w:rFonts w:ascii="Times New Roman" w:hAnsi="Times New Roman" w:cs="Times New Roman"/>
          <w:lang w:val="sl-SI"/>
        </w:rPr>
        <w:t>ij</w:t>
      </w:r>
      <w:r w:rsidRPr="00B421A5">
        <w:rPr>
          <w:rFonts w:ascii="Times New Roman" w:hAnsi="Times New Roman" w:cs="Times New Roman"/>
          <w:lang w:val="sl-SI"/>
        </w:rPr>
        <w:t>ečenju obol</w:t>
      </w:r>
      <w:r w:rsidR="00927A3C" w:rsidRPr="00B421A5">
        <w:rPr>
          <w:rFonts w:ascii="Times New Roman" w:hAnsi="Times New Roman" w:cs="Times New Roman"/>
          <w:lang w:val="sl-SI"/>
        </w:rPr>
        <w:t>j</w:t>
      </w:r>
      <w:r w:rsidRPr="00B421A5">
        <w:rPr>
          <w:rFonts w:ascii="Times New Roman" w:hAnsi="Times New Roman" w:cs="Times New Roman"/>
          <w:lang w:val="sl-SI"/>
        </w:rPr>
        <w:t xml:space="preserve">elih od parodontopatije </w:t>
      </w:r>
    </w:p>
    <w:p w:rsidR="000846FC" w:rsidRPr="00B421A5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sl-SI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Održavanje oralne higijene - metode pranja zuba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Pomoćna sredstva za održavanje oralne higijene </w:t>
      </w:r>
    </w:p>
    <w:p w:rsidR="00661DBF" w:rsidRDefault="00661DBF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661DBF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Prim</w:t>
      </w:r>
      <w:r w:rsidR="00927A3C">
        <w:rPr>
          <w:rFonts w:ascii="Times New Roman" w:hAnsi="Times New Roman" w:cs="Times New Roman"/>
          <w:lang w:val="it-IT"/>
        </w:rPr>
        <w:t>j</w:t>
      </w:r>
      <w:r w:rsidRPr="000846FC">
        <w:rPr>
          <w:rFonts w:ascii="Times New Roman" w:hAnsi="Times New Roman" w:cs="Times New Roman"/>
          <w:lang w:val="it-IT"/>
        </w:rPr>
        <w:t>ena antibiotika u l</w:t>
      </w:r>
      <w:r w:rsidR="00927A3C">
        <w:rPr>
          <w:rFonts w:ascii="Times New Roman" w:hAnsi="Times New Roman" w:cs="Times New Roman"/>
          <w:lang w:val="it-IT"/>
        </w:rPr>
        <w:t>ij</w:t>
      </w:r>
      <w:r w:rsidRPr="000846FC">
        <w:rPr>
          <w:rFonts w:ascii="Times New Roman" w:hAnsi="Times New Roman" w:cs="Times New Roman"/>
          <w:lang w:val="it-IT"/>
        </w:rPr>
        <w:t xml:space="preserve">ečenju parodontopatije </w:t>
      </w: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Primarna preventiva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Sekundarna preventiva parodontopatije </w:t>
      </w:r>
    </w:p>
    <w:p w:rsidR="000846FC" w:rsidRPr="00AB6354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Tercijerna preventiva </w:t>
      </w: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Preliminarna terapija obolelih od parodontopatije </w:t>
      </w:r>
    </w:p>
    <w:p w:rsidR="00E57D0A" w:rsidRPr="00E57D0A" w:rsidRDefault="00E57D0A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Dijagnoza, diferencijalna dijagnoza i terapija parodontalnog apcesa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Plan terapije retrogradnog pulpita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Primena medikamenata u lečenju parodontopatije (preliminarna terapija)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Parodontopatija komplikovana anaerobnom infekcijom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Parodontopatija komplikovana obolenjima mekih oralnih tkiva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Parodontopatija komplikovana širenjem infekcije u okolna tkiva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Uklanjanje grubih poremećaja okluzije </w:t>
      </w:r>
    </w:p>
    <w:p w:rsidR="000846FC" w:rsidRPr="00AB6354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Ekstrakcije zuba u terapiji parodontopatije </w:t>
      </w:r>
    </w:p>
    <w:p w:rsidR="000846FC" w:rsidRPr="00AB6354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Kauzalna faza terapije parodontopatija </w:t>
      </w:r>
    </w:p>
    <w:p w:rsidR="000846FC" w:rsidRPr="00AB6354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AB6354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AB6354">
        <w:rPr>
          <w:rFonts w:ascii="Times New Roman" w:hAnsi="Times New Roman" w:cs="Times New Roman"/>
          <w:lang w:val="it-IT"/>
        </w:rPr>
        <w:t xml:space="preserve">Motivacija bolesnika za održavanje oralne higijene, tehnike pranja zuba i izbor sredstava za održavanje oralne higijene </w:t>
      </w:r>
    </w:p>
    <w:p w:rsidR="000846FC" w:rsidRPr="00AB6354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Antiseptici i medikamenti u kauzalnoj fazi terapije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Antibiotici u terapiji obolelog parodoncijuma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Sistemska primena antibiotika u terapiji obolelog parodoncijuma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Lokalna primena antibiotika u terapiji obolelog parodoncijuma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Modulacija odgovora domaćina u terapiji obolelog parodoncijuma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lastRenderedPageBreak/>
        <w:t xml:space="preserve">Primena medikamenata u okviru kauzalne faze terapije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Primena oralnih antiseptika u okviru kauzalne faze terapije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661DBF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Identifikacija dentalnog biofilma</w:t>
      </w:r>
      <w:r w:rsidR="000846FC" w:rsidRPr="00E57D0A">
        <w:rPr>
          <w:rFonts w:ascii="Times New Roman" w:hAnsi="Times New Roman" w:cs="Times New Roman"/>
          <w:lang w:val="it-IT"/>
        </w:rPr>
        <w:t xml:space="preserve">, motivacija i obučavanje bolesnika u održavanju oralne higijene(kauzalna faza terapije)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Smirivanje simptoma zapaljenja u parodoncijumu - kauzalne faze terapije parodontopatije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E57D0A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E57D0A">
        <w:rPr>
          <w:rFonts w:ascii="Times New Roman" w:hAnsi="Times New Roman" w:cs="Times New Roman"/>
          <w:lang w:val="it-IT"/>
        </w:rPr>
        <w:t xml:space="preserve">Obrada tvrdog zida parodontalnog džepa i uklanjanje slobodnog sadržaja - kauzalne faze terapije parodontopatije </w:t>
      </w:r>
    </w:p>
    <w:p w:rsidR="000846FC" w:rsidRPr="00E57D0A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Procena rezultata kauzalne faze terapije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Hirurška faza terapije parodontopatije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Faktori koji utiču na izbor metode za eliminaciju parodontalnih džepova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>Odnos dna džepa</w:t>
      </w:r>
      <w:r w:rsidR="00E57D0A">
        <w:rPr>
          <w:rFonts w:ascii="Times New Roman" w:hAnsi="Times New Roman" w:cs="Times New Roman"/>
          <w:lang w:val="it-IT"/>
        </w:rPr>
        <w:t xml:space="preserve"> prema mukogingivalnoj liniji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Indikacije i kontraindikacije za primenu metode obrade parodontalnih džepova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Instrumenti za obradu parodontalnih džepova i hirurška tehnika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Obrada parodontalnog džepa(tvrdi zid parodontalnog džepa, meki zid parodontalnog džepa, slobodni sadržaj parodontalnog džepa) </w:t>
      </w:r>
    </w:p>
    <w:p w:rsidR="00661DBF" w:rsidRPr="000846FC" w:rsidRDefault="00661DBF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</w:p>
    <w:p w:rsidR="000846FC" w:rsidRPr="000846FC" w:rsidRDefault="000846FC" w:rsidP="00E57D0A">
      <w:pPr>
        <w:pStyle w:val="Default"/>
        <w:spacing w:line="360" w:lineRule="auto"/>
        <w:ind w:left="720"/>
        <w:rPr>
          <w:rFonts w:ascii="Times New Roman" w:hAnsi="Times New Roman" w:cs="Times New Roman"/>
          <w:lang w:val="it-IT"/>
        </w:rPr>
      </w:pPr>
      <w:r w:rsidRPr="000846FC">
        <w:rPr>
          <w:rFonts w:ascii="Times New Roman" w:hAnsi="Times New Roman" w:cs="Times New Roman"/>
          <w:lang w:val="it-IT"/>
        </w:rPr>
        <w:t xml:space="preserve">Očekivani terapijski rezultati nakon obrade parodontalnog džepa </w:t>
      </w:r>
    </w:p>
    <w:p w:rsidR="000846FC" w:rsidRPr="000846FC" w:rsidRDefault="000846FC" w:rsidP="000846FC">
      <w:pPr>
        <w:pStyle w:val="Default"/>
        <w:spacing w:line="360" w:lineRule="auto"/>
        <w:ind w:left="360" w:hanging="360"/>
        <w:rPr>
          <w:rFonts w:ascii="Times New Roman" w:hAnsi="Times New Roman" w:cs="Times New Roman"/>
          <w:lang w:val="it-IT"/>
        </w:rPr>
      </w:pPr>
    </w:p>
    <w:p w:rsidR="00115D8A" w:rsidRPr="000846FC" w:rsidRDefault="000846FC" w:rsidP="00AB635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0846FC">
        <w:rPr>
          <w:rFonts w:ascii="Times New Roman" w:hAnsi="Times New Roman" w:cs="Times New Roman"/>
        </w:rPr>
        <w:t xml:space="preserve">Gingivalna i subgingivalna kiretaža </w:t>
      </w:r>
    </w:p>
    <w:sectPr w:rsidR="00115D8A" w:rsidRPr="000846FC" w:rsidSect="002114EF">
      <w:pgSz w:w="11904" w:h="17340"/>
      <w:pgMar w:top="1849" w:right="888" w:bottom="1440" w:left="11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93B956F"/>
    <w:multiLevelType w:val="hybridMultilevel"/>
    <w:tmpl w:val="14A3AD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4C981D"/>
    <w:multiLevelType w:val="hybridMultilevel"/>
    <w:tmpl w:val="44B3B9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424BF7"/>
    <w:multiLevelType w:val="hybridMultilevel"/>
    <w:tmpl w:val="F28E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025C"/>
    <w:multiLevelType w:val="hybridMultilevel"/>
    <w:tmpl w:val="803C1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BD3BA"/>
    <w:multiLevelType w:val="hybridMultilevel"/>
    <w:tmpl w:val="684973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C"/>
    <w:rsid w:val="000846FC"/>
    <w:rsid w:val="00105077"/>
    <w:rsid w:val="00115D8A"/>
    <w:rsid w:val="00237FA1"/>
    <w:rsid w:val="004326AA"/>
    <w:rsid w:val="00661DBF"/>
    <w:rsid w:val="007368A8"/>
    <w:rsid w:val="007B3F2A"/>
    <w:rsid w:val="008D3F7E"/>
    <w:rsid w:val="00927A3C"/>
    <w:rsid w:val="00AB6354"/>
    <w:rsid w:val="00B421A5"/>
    <w:rsid w:val="00BD365D"/>
    <w:rsid w:val="00E5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27DE-8AE8-4284-B769-10A6E02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4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dcterms:created xsi:type="dcterms:W3CDTF">2021-07-01T12:33:00Z</dcterms:created>
  <dcterms:modified xsi:type="dcterms:W3CDTF">2021-07-01T12:33:00Z</dcterms:modified>
</cp:coreProperties>
</file>