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bottom w:w="6" w:type="dxa"/>
          <w:right w:w="57" w:type="dxa"/>
        </w:tblCellMar>
        <w:tblLook w:val="0000" w:firstRow="0" w:lastRow="0" w:firstColumn="0" w:lastColumn="0" w:noHBand="0" w:noVBand="0"/>
      </w:tblPr>
      <w:tblGrid>
        <w:gridCol w:w="1561"/>
        <w:gridCol w:w="447"/>
        <w:gridCol w:w="785"/>
        <w:gridCol w:w="371"/>
        <w:gridCol w:w="205"/>
        <w:gridCol w:w="639"/>
        <w:gridCol w:w="1350"/>
        <w:gridCol w:w="1035"/>
        <w:gridCol w:w="576"/>
        <w:gridCol w:w="617"/>
        <w:gridCol w:w="451"/>
        <w:gridCol w:w="399"/>
        <w:gridCol w:w="1765"/>
      </w:tblGrid>
      <w:tr w:rsidR="00247A89" w:rsidRPr="00FA3345" w14:paraId="0A483C93" w14:textId="77777777" w:rsidTr="00FB4420">
        <w:trPr>
          <w:cantSplit/>
          <w:trHeight w:val="527"/>
        </w:trPr>
        <w:tc>
          <w:tcPr>
            <w:tcW w:w="1561" w:type="dxa"/>
            <w:vMerge w:val="restart"/>
          </w:tcPr>
          <w:p w14:paraId="26DA0585" w14:textId="77777777" w:rsidR="00247A89" w:rsidRPr="00FA3345" w:rsidRDefault="00247A89" w:rsidP="00FB4420">
            <w:pPr>
              <w:spacing w:after="0" w:line="240" w:lineRule="auto"/>
              <w:rPr>
                <w:rFonts w:ascii="Times New Roman" w:eastAsia="Times New Roman" w:hAnsi="Times New Roman" w:cs="Times New Roman"/>
                <w:b/>
                <w:bCs/>
              </w:rPr>
            </w:pPr>
            <w:bookmarkStart w:id="0" w:name="_GoBack"/>
            <w:bookmarkEnd w:id="0"/>
            <w:r>
              <w:rPr>
                <w:rFonts w:ascii="Times New Roman" w:hAnsi="Times New Roman"/>
                <w:noProof/>
                <w:lang w:val="en-US"/>
              </w:rPr>
              <w:drawing>
                <wp:inline distT="0" distB="0" distL="0" distR="0" wp14:anchorId="5C8C5ADB" wp14:editId="0F865828">
                  <wp:extent cx="885825" cy="885825"/>
                  <wp:effectExtent l="0" t="0" r="9525" b="9525"/>
                  <wp:docPr id="63" name="Picture 63" descr="C:\Documents and Settings\PC735\Local Settings\Temporary Internet Files\Content.Word\Logo_Univerziteta st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735\Local Settings\Temporary Internet Files\Content.Word\Logo_Univerziteta star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6875" w:type="dxa"/>
            <w:gridSpan w:val="11"/>
            <w:vAlign w:val="center"/>
          </w:tcPr>
          <w:p w14:paraId="15128899"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UNIVERSITY OF BANJA LUKA</w:t>
            </w:r>
          </w:p>
          <w:p w14:paraId="030F21CA"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FACULTY OF MEDICINE</w:t>
            </w:r>
          </w:p>
        </w:tc>
        <w:tc>
          <w:tcPr>
            <w:tcW w:w="1765" w:type="dxa"/>
            <w:vMerge w:val="restart"/>
            <w:tcMar>
              <w:left w:w="0" w:type="dxa"/>
              <w:right w:w="0" w:type="dxa"/>
            </w:tcMar>
            <w:vAlign w:val="center"/>
          </w:tcPr>
          <w:p w14:paraId="768FEB71" w14:textId="77777777" w:rsidR="00247A89" w:rsidRPr="00FA3345" w:rsidRDefault="00247A89" w:rsidP="00FB4420">
            <w:pPr>
              <w:spacing w:after="0" w:line="240" w:lineRule="auto"/>
              <w:ind w:right="-24"/>
              <w:jc w:val="center"/>
              <w:rPr>
                <w:rFonts w:ascii="Times New Roman" w:eastAsia="Times New Roman" w:hAnsi="Times New Roman" w:cs="Times New Roman"/>
                <w:bCs/>
              </w:rPr>
            </w:pPr>
            <w:r>
              <w:rPr>
                <w:rFonts w:ascii="Times New Roman" w:hAnsi="Times New Roman"/>
                <w:noProof/>
                <w:lang w:val="en-US"/>
              </w:rPr>
              <w:drawing>
                <wp:anchor distT="0" distB="0" distL="114300" distR="114300" simplePos="0" relativeHeight="251659264" behindDoc="1" locked="0" layoutInCell="1" allowOverlap="1" wp14:anchorId="2FF0ACC8" wp14:editId="3F213B9D">
                  <wp:simplePos x="0" y="0"/>
                  <wp:positionH relativeFrom="column">
                    <wp:posOffset>149225</wp:posOffset>
                  </wp:positionH>
                  <wp:positionV relativeFrom="paragraph">
                    <wp:posOffset>-1905</wp:posOffset>
                  </wp:positionV>
                  <wp:extent cx="805180" cy="943610"/>
                  <wp:effectExtent l="0" t="0" r="0" b="8890"/>
                  <wp:wrapNone/>
                  <wp:docPr id="64" name="Picture 64" descr="logo mF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mF nov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3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A89" w:rsidRPr="00FA3345" w14:paraId="75B5FBED" w14:textId="77777777" w:rsidTr="00FB4420">
        <w:trPr>
          <w:cantSplit/>
          <w:trHeight w:val="353"/>
        </w:trPr>
        <w:tc>
          <w:tcPr>
            <w:tcW w:w="1561" w:type="dxa"/>
            <w:vMerge/>
          </w:tcPr>
          <w:p w14:paraId="10489AD0" w14:textId="77777777" w:rsidR="00247A89" w:rsidRPr="00FA3345" w:rsidRDefault="00247A89" w:rsidP="00FB4420">
            <w:pPr>
              <w:spacing w:after="0" w:line="240" w:lineRule="auto"/>
              <w:rPr>
                <w:rFonts w:ascii="Times New Roman" w:eastAsia="Times New Roman" w:hAnsi="Times New Roman" w:cs="Times New Roman"/>
                <w:lang w:val="ru-RU"/>
              </w:rPr>
            </w:pPr>
          </w:p>
        </w:tc>
        <w:tc>
          <w:tcPr>
            <w:tcW w:w="6875" w:type="dxa"/>
            <w:gridSpan w:val="11"/>
            <w:shd w:val="clear" w:color="auto" w:fill="auto"/>
            <w:vAlign w:val="center"/>
          </w:tcPr>
          <w:p w14:paraId="4C67D502"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UNDERGRADUATE STUDIES</w:t>
            </w:r>
          </w:p>
        </w:tc>
        <w:tc>
          <w:tcPr>
            <w:tcW w:w="1765" w:type="dxa"/>
            <w:vMerge/>
            <w:vAlign w:val="center"/>
          </w:tcPr>
          <w:p w14:paraId="46639773" w14:textId="77777777" w:rsidR="00247A89" w:rsidRPr="00FA3345" w:rsidRDefault="00247A89" w:rsidP="00FB4420">
            <w:pPr>
              <w:spacing w:after="0" w:line="240" w:lineRule="auto"/>
              <w:ind w:right="-784"/>
              <w:rPr>
                <w:rFonts w:ascii="Times New Roman" w:eastAsia="Times New Roman" w:hAnsi="Times New Roman" w:cs="Times New Roman"/>
              </w:rPr>
            </w:pPr>
          </w:p>
        </w:tc>
      </w:tr>
      <w:tr w:rsidR="00247A89" w:rsidRPr="00FA3345" w14:paraId="5481866D" w14:textId="77777777" w:rsidTr="00FB4420">
        <w:trPr>
          <w:cantSplit/>
          <w:trHeight w:val="352"/>
        </w:trPr>
        <w:tc>
          <w:tcPr>
            <w:tcW w:w="1561" w:type="dxa"/>
            <w:vMerge/>
          </w:tcPr>
          <w:p w14:paraId="618EBB8A" w14:textId="77777777" w:rsidR="00247A89" w:rsidRPr="00FA3345" w:rsidRDefault="00247A89" w:rsidP="00FB4420">
            <w:pPr>
              <w:spacing w:after="0" w:line="240" w:lineRule="auto"/>
              <w:rPr>
                <w:rFonts w:ascii="Times New Roman" w:eastAsia="Times New Roman" w:hAnsi="Times New Roman" w:cs="Times New Roman"/>
              </w:rPr>
            </w:pPr>
          </w:p>
        </w:tc>
        <w:tc>
          <w:tcPr>
            <w:tcW w:w="1603" w:type="dxa"/>
            <w:gridSpan w:val="3"/>
            <w:tcBorders>
              <w:right w:val="single" w:sz="4" w:space="0" w:color="auto"/>
            </w:tcBorders>
            <w:shd w:val="clear" w:color="auto" w:fill="auto"/>
          </w:tcPr>
          <w:p w14:paraId="3BBD947F"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Study Programme of</w:t>
            </w:r>
          </w:p>
        </w:tc>
        <w:tc>
          <w:tcPr>
            <w:tcW w:w="5272" w:type="dxa"/>
            <w:gridSpan w:val="8"/>
            <w:tcBorders>
              <w:top w:val="single" w:sz="4" w:space="0" w:color="auto"/>
              <w:left w:val="single" w:sz="4" w:space="0" w:color="auto"/>
              <w:bottom w:val="single" w:sz="4" w:space="0" w:color="auto"/>
              <w:right w:val="single" w:sz="4" w:space="0" w:color="auto"/>
            </w:tcBorders>
            <w:shd w:val="clear" w:color="auto" w:fill="0070C0"/>
            <w:vAlign w:val="center"/>
          </w:tcPr>
          <w:p w14:paraId="72F68D2C" w14:textId="77777777" w:rsidR="00247A89" w:rsidRPr="00FA3345" w:rsidRDefault="00247A89" w:rsidP="00FB4420">
            <w:pPr>
              <w:spacing w:after="0" w:line="240" w:lineRule="auto"/>
              <w:ind w:right="492"/>
              <w:jc w:val="center"/>
              <w:rPr>
                <w:rFonts w:ascii="Times New Roman" w:eastAsia="Times New Roman" w:hAnsi="Times New Roman" w:cs="Times New Roman"/>
                <w:b/>
                <w:bCs/>
                <w:color w:val="FFFFFF"/>
              </w:rPr>
            </w:pPr>
            <w:r>
              <w:rPr>
                <w:rFonts w:ascii="Times New Roman" w:hAnsi="Times New Roman"/>
                <w:b/>
                <w:color w:val="FFFFFF"/>
              </w:rPr>
              <w:t>MEDICINE</w:t>
            </w:r>
          </w:p>
        </w:tc>
        <w:tc>
          <w:tcPr>
            <w:tcW w:w="1765" w:type="dxa"/>
            <w:vMerge/>
            <w:tcBorders>
              <w:left w:val="single" w:sz="4" w:space="0" w:color="auto"/>
            </w:tcBorders>
            <w:vAlign w:val="center"/>
          </w:tcPr>
          <w:p w14:paraId="7792C44C" w14:textId="77777777" w:rsidR="00247A89" w:rsidRPr="00FA3345" w:rsidRDefault="00247A89" w:rsidP="00FB4420">
            <w:pPr>
              <w:spacing w:after="0" w:line="240" w:lineRule="auto"/>
              <w:ind w:right="-784"/>
              <w:rPr>
                <w:rFonts w:ascii="Times New Roman" w:eastAsia="Times New Roman" w:hAnsi="Times New Roman" w:cs="Times New Roman"/>
              </w:rPr>
            </w:pPr>
          </w:p>
        </w:tc>
      </w:tr>
      <w:tr w:rsidR="00247A89" w:rsidRPr="00FA3345" w14:paraId="0CDD6D84" w14:textId="77777777" w:rsidTr="00FB4420">
        <w:tblPrEx>
          <w:tblCellMar>
            <w:top w:w="28" w:type="dxa"/>
            <w:bottom w:w="28" w:type="dxa"/>
          </w:tblCellMar>
        </w:tblPrEx>
        <w:tc>
          <w:tcPr>
            <w:tcW w:w="2008" w:type="dxa"/>
            <w:gridSpan w:val="2"/>
          </w:tcPr>
          <w:p w14:paraId="080EF65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Course Unit Name</w:t>
            </w:r>
          </w:p>
        </w:tc>
        <w:tc>
          <w:tcPr>
            <w:tcW w:w="8193" w:type="dxa"/>
            <w:gridSpan w:val="11"/>
            <w:shd w:val="clear" w:color="auto" w:fill="0070C0"/>
          </w:tcPr>
          <w:p w14:paraId="410C386C" w14:textId="77777777" w:rsidR="00247A89" w:rsidRPr="004B1E22" w:rsidRDefault="00247A89" w:rsidP="00FB4420">
            <w:pPr>
              <w:spacing w:after="0" w:line="240" w:lineRule="auto"/>
              <w:ind w:right="492"/>
              <w:jc w:val="center"/>
              <w:rPr>
                <w:rFonts w:ascii="Times New Roman" w:eastAsia="Times New Roman" w:hAnsi="Times New Roman" w:cs="Times New Roman"/>
                <w:b/>
                <w:bCs/>
                <w:color w:val="FFFFFF"/>
                <w:sz w:val="24"/>
                <w:szCs w:val="24"/>
              </w:rPr>
            </w:pPr>
            <w:r w:rsidRPr="004B1E22">
              <w:rPr>
                <w:rFonts w:ascii="Times New Roman" w:hAnsi="Times New Roman"/>
                <w:b/>
                <w:color w:val="FFFFFF"/>
                <w:sz w:val="24"/>
                <w:szCs w:val="24"/>
              </w:rPr>
              <w:t>Pathophysiology</w:t>
            </w:r>
          </w:p>
        </w:tc>
      </w:tr>
      <w:tr w:rsidR="00247A89" w:rsidRPr="00FA3345" w14:paraId="147BFAA2" w14:textId="77777777" w:rsidTr="00FB4420">
        <w:tblPrEx>
          <w:tblCellMar>
            <w:top w:w="28" w:type="dxa"/>
            <w:bottom w:w="28" w:type="dxa"/>
          </w:tblCellMar>
        </w:tblPrEx>
        <w:tc>
          <w:tcPr>
            <w:tcW w:w="2008" w:type="dxa"/>
            <w:gridSpan w:val="2"/>
          </w:tcPr>
          <w:p w14:paraId="25BF121C"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Type of Course Unit</w:t>
            </w:r>
          </w:p>
        </w:tc>
        <w:tc>
          <w:tcPr>
            <w:tcW w:w="8193" w:type="dxa"/>
            <w:gridSpan w:val="11"/>
            <w:shd w:val="clear" w:color="auto" w:fill="auto"/>
          </w:tcPr>
          <w:p w14:paraId="2E2675A5"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General Education</w:t>
            </w:r>
          </w:p>
        </w:tc>
      </w:tr>
      <w:tr w:rsidR="00247A89" w:rsidRPr="00FA3345" w14:paraId="5D7199F2" w14:textId="77777777" w:rsidTr="00FB4420">
        <w:tblPrEx>
          <w:tblCellMar>
            <w:top w:w="28" w:type="dxa"/>
            <w:bottom w:w="28" w:type="dxa"/>
          </w:tblCellMar>
        </w:tblPrEx>
        <w:tc>
          <w:tcPr>
            <w:tcW w:w="2008" w:type="dxa"/>
            <w:gridSpan w:val="2"/>
          </w:tcPr>
          <w:p w14:paraId="734ADB76"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Course Unit Code</w:t>
            </w:r>
          </w:p>
        </w:tc>
        <w:tc>
          <w:tcPr>
            <w:tcW w:w="2000" w:type="dxa"/>
            <w:gridSpan w:val="4"/>
          </w:tcPr>
          <w:p w14:paraId="19D22A11"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Course Unit Status</w:t>
            </w:r>
          </w:p>
        </w:tc>
        <w:tc>
          <w:tcPr>
            <w:tcW w:w="1350" w:type="dxa"/>
          </w:tcPr>
          <w:p w14:paraId="2EA48CBE"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Semester</w:t>
            </w:r>
          </w:p>
        </w:tc>
        <w:tc>
          <w:tcPr>
            <w:tcW w:w="2679" w:type="dxa"/>
            <w:gridSpan w:val="4"/>
          </w:tcPr>
          <w:p w14:paraId="79B82232"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Class Workload</w:t>
            </w:r>
          </w:p>
        </w:tc>
        <w:tc>
          <w:tcPr>
            <w:tcW w:w="2164" w:type="dxa"/>
            <w:gridSpan w:val="2"/>
          </w:tcPr>
          <w:p w14:paraId="2804DBD1"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Number of ЕCTS</w:t>
            </w:r>
          </w:p>
        </w:tc>
      </w:tr>
      <w:tr w:rsidR="00247A89" w:rsidRPr="00FA3345" w14:paraId="645E68ED" w14:textId="77777777" w:rsidTr="00FB4420">
        <w:tblPrEx>
          <w:tblCellMar>
            <w:top w:w="28" w:type="dxa"/>
            <w:bottom w:w="28" w:type="dxa"/>
          </w:tblCellMar>
        </w:tblPrEx>
        <w:tc>
          <w:tcPr>
            <w:tcW w:w="2008" w:type="dxa"/>
            <w:gridSpan w:val="2"/>
          </w:tcPr>
          <w:p w14:paraId="6A2BBB84" w14:textId="77777777" w:rsidR="00247A89" w:rsidRPr="00FA3345" w:rsidRDefault="00247A89" w:rsidP="00FB4420">
            <w:pPr>
              <w:spacing w:after="0" w:line="240" w:lineRule="auto"/>
              <w:jc w:val="center"/>
              <w:rPr>
                <w:rFonts w:ascii="Times New Roman" w:eastAsia="Times New Roman" w:hAnsi="Times New Roman" w:cs="Times New Roman"/>
                <w:lang w:val="sr-Cyrl-RS"/>
              </w:rPr>
            </w:pPr>
          </w:p>
        </w:tc>
        <w:tc>
          <w:tcPr>
            <w:tcW w:w="2000" w:type="dxa"/>
            <w:gridSpan w:val="4"/>
          </w:tcPr>
          <w:p w14:paraId="2AC5B8A8" w14:textId="77777777" w:rsidR="00247A89" w:rsidRPr="00FA3345" w:rsidRDefault="00247A89" w:rsidP="00FB4420">
            <w:pPr>
              <w:spacing w:after="0" w:line="240" w:lineRule="auto"/>
              <w:jc w:val="center"/>
              <w:rPr>
                <w:rFonts w:ascii="Times New Roman" w:eastAsia="Times New Roman" w:hAnsi="Times New Roman" w:cs="Times New Roman"/>
              </w:rPr>
            </w:pPr>
            <w:r>
              <w:rPr>
                <w:rFonts w:ascii="Times New Roman" w:hAnsi="Times New Roman"/>
              </w:rPr>
              <w:t>COMPULSORY</w:t>
            </w:r>
          </w:p>
        </w:tc>
        <w:tc>
          <w:tcPr>
            <w:tcW w:w="1350" w:type="dxa"/>
          </w:tcPr>
          <w:p w14:paraId="7E49C89D" w14:textId="77777777" w:rsidR="00247A89" w:rsidRPr="00FA3345" w:rsidRDefault="00247A89" w:rsidP="00FB4420">
            <w:pPr>
              <w:spacing w:after="0" w:line="240" w:lineRule="auto"/>
              <w:jc w:val="center"/>
              <w:rPr>
                <w:rFonts w:ascii="Times New Roman" w:eastAsia="Times New Roman" w:hAnsi="Times New Roman" w:cs="Times New Roman"/>
              </w:rPr>
            </w:pPr>
            <w:r>
              <w:rPr>
                <w:rFonts w:ascii="Times New Roman" w:hAnsi="Times New Roman"/>
              </w:rPr>
              <w:t>V and VI</w:t>
            </w:r>
          </w:p>
        </w:tc>
        <w:tc>
          <w:tcPr>
            <w:tcW w:w="2679" w:type="dxa"/>
            <w:gridSpan w:val="4"/>
          </w:tcPr>
          <w:p w14:paraId="6FA22917" w14:textId="7045D6D6" w:rsidR="00247A89" w:rsidRPr="00FA3345" w:rsidRDefault="004009E6" w:rsidP="00FB4420">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hAnsi="Times New Roman"/>
                <w:color w:val="000000"/>
              </w:rPr>
              <w:t>V: 2</w:t>
            </w:r>
            <w:r w:rsidR="00247A89">
              <w:rPr>
                <w:rFonts w:ascii="Times New Roman" w:hAnsi="Times New Roman"/>
                <w:color w:val="000000"/>
              </w:rPr>
              <w:t xml:space="preserve">L+3P </w:t>
            </w:r>
          </w:p>
          <w:p w14:paraId="3B0F5383" w14:textId="0A0632CE" w:rsidR="00247A89" w:rsidRPr="00FA3345" w:rsidRDefault="004009E6" w:rsidP="00FB4420">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hAnsi="Times New Roman"/>
                <w:color w:val="000000"/>
              </w:rPr>
              <w:t>VI: 3</w:t>
            </w:r>
            <w:r w:rsidR="00247A89">
              <w:rPr>
                <w:rFonts w:ascii="Times New Roman" w:hAnsi="Times New Roman"/>
                <w:color w:val="000000"/>
              </w:rPr>
              <w:t>L+3P</w:t>
            </w:r>
          </w:p>
        </w:tc>
        <w:tc>
          <w:tcPr>
            <w:tcW w:w="2164" w:type="dxa"/>
            <w:gridSpan w:val="2"/>
          </w:tcPr>
          <w:p w14:paraId="5603A1AE" w14:textId="77777777" w:rsidR="00247A89" w:rsidRPr="00FA3345" w:rsidRDefault="00247A89" w:rsidP="00FB4420">
            <w:pPr>
              <w:spacing w:after="0" w:line="240" w:lineRule="auto"/>
              <w:jc w:val="center"/>
              <w:rPr>
                <w:rFonts w:ascii="Times New Roman" w:eastAsia="Times New Roman" w:hAnsi="Times New Roman" w:cs="Times New Roman"/>
              </w:rPr>
            </w:pPr>
            <w:r>
              <w:rPr>
                <w:rFonts w:ascii="Times New Roman" w:hAnsi="Times New Roman"/>
              </w:rPr>
              <w:t>13</w:t>
            </w:r>
          </w:p>
        </w:tc>
      </w:tr>
      <w:tr w:rsidR="00247A89" w:rsidRPr="00FA3345" w14:paraId="621DC2D0" w14:textId="77777777" w:rsidTr="00FB4420">
        <w:tblPrEx>
          <w:tblCellMar>
            <w:top w:w="28" w:type="dxa"/>
            <w:bottom w:w="28" w:type="dxa"/>
          </w:tblCellMar>
        </w:tblPrEx>
        <w:tc>
          <w:tcPr>
            <w:tcW w:w="2008" w:type="dxa"/>
            <w:gridSpan w:val="2"/>
            <w:shd w:val="clear" w:color="auto" w:fill="99CCFF"/>
          </w:tcPr>
          <w:p w14:paraId="14EC2856"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Members of Staff</w:t>
            </w:r>
          </w:p>
        </w:tc>
        <w:tc>
          <w:tcPr>
            <w:tcW w:w="8193" w:type="dxa"/>
            <w:gridSpan w:val="11"/>
          </w:tcPr>
          <w:p w14:paraId="42D435B9" w14:textId="1E570F06" w:rsidR="00247A89" w:rsidRPr="00FA3345" w:rsidRDefault="00247A89" w:rsidP="00FB4420">
            <w:pPr>
              <w:spacing w:after="0" w:line="240" w:lineRule="auto"/>
              <w:rPr>
                <w:rFonts w:ascii="Times New Roman" w:eastAsia="Times New Roman" w:hAnsi="Times New Roman" w:cs="Times New Roman"/>
              </w:rPr>
            </w:pPr>
            <w:r>
              <w:rPr>
                <w:rFonts w:ascii="Times New Roman" w:hAnsi="Times New Roman"/>
              </w:rPr>
              <w:t xml:space="preserve">Prof. Dr Darko Golić, </w:t>
            </w:r>
            <w:r w:rsidR="004F7906">
              <w:rPr>
                <w:rFonts w:ascii="Times New Roman" w:hAnsi="Times New Roman"/>
              </w:rPr>
              <w:t xml:space="preserve">full professor, </w:t>
            </w:r>
            <w:r>
              <w:rPr>
                <w:rFonts w:ascii="Times New Roman" w:hAnsi="Times New Roman"/>
              </w:rPr>
              <w:t>Prof. Dr Milorad Vujnić</w:t>
            </w:r>
            <w:r w:rsidR="004F7906">
              <w:rPr>
                <w:rFonts w:ascii="Times New Roman" w:hAnsi="Times New Roman"/>
              </w:rPr>
              <w:t>, associate professor</w:t>
            </w:r>
            <w:r>
              <w:rPr>
                <w:rFonts w:ascii="Times New Roman" w:hAnsi="Times New Roman"/>
              </w:rPr>
              <w:t xml:space="preserve">; </w:t>
            </w:r>
            <w:r w:rsidR="004F7906">
              <w:rPr>
                <w:rFonts w:ascii="Times New Roman" w:hAnsi="Times New Roman"/>
              </w:rPr>
              <w:t>Assist. Prof.</w:t>
            </w:r>
            <w:r w:rsidR="00F80B5B">
              <w:rPr>
                <w:rFonts w:ascii="Times New Roman" w:hAnsi="Times New Roman"/>
              </w:rPr>
              <w:t xml:space="preserve"> </w:t>
            </w:r>
            <w:r w:rsidR="004F7906">
              <w:rPr>
                <w:rFonts w:ascii="Times New Roman" w:hAnsi="Times New Roman"/>
              </w:rPr>
              <w:t>Alma Prtina; Aleksandra Krivokuća, assistant</w:t>
            </w:r>
            <w:r w:rsidR="00F80B5B">
              <w:rPr>
                <w:rFonts w:ascii="Times New Roman" w:hAnsi="Times New Roman"/>
              </w:rPr>
              <w:t>; Uglješa Maličević, assistant</w:t>
            </w:r>
          </w:p>
        </w:tc>
      </w:tr>
      <w:tr w:rsidR="00247A89" w:rsidRPr="00FA3345" w14:paraId="6DBFB132" w14:textId="77777777" w:rsidTr="00FB4420">
        <w:tblPrEx>
          <w:tblCellMar>
            <w:top w:w="28" w:type="dxa"/>
            <w:bottom w:w="28" w:type="dxa"/>
          </w:tblCellMar>
        </w:tblPrEx>
        <w:trPr>
          <w:cantSplit/>
          <w:trHeight w:val="218"/>
        </w:trPr>
        <w:tc>
          <w:tcPr>
            <w:tcW w:w="7586" w:type="dxa"/>
            <w:gridSpan w:val="10"/>
            <w:shd w:val="clear" w:color="auto" w:fill="99CCFF"/>
          </w:tcPr>
          <w:p w14:paraId="2AC77FC7"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Eligibility Requirements</w:t>
            </w:r>
          </w:p>
        </w:tc>
        <w:tc>
          <w:tcPr>
            <w:tcW w:w="2615" w:type="dxa"/>
            <w:gridSpan w:val="3"/>
            <w:shd w:val="clear" w:color="auto" w:fill="99CCFF"/>
          </w:tcPr>
          <w:p w14:paraId="427DC37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Form of Requirements</w:t>
            </w:r>
          </w:p>
        </w:tc>
      </w:tr>
      <w:tr w:rsidR="00247A89" w:rsidRPr="00FA3345" w14:paraId="22A0B9D7" w14:textId="77777777" w:rsidTr="00FB4420">
        <w:tblPrEx>
          <w:tblCellMar>
            <w:top w:w="28" w:type="dxa"/>
            <w:bottom w:w="28" w:type="dxa"/>
          </w:tblCellMar>
        </w:tblPrEx>
        <w:trPr>
          <w:cantSplit/>
          <w:trHeight w:val="217"/>
        </w:trPr>
        <w:tc>
          <w:tcPr>
            <w:tcW w:w="7586" w:type="dxa"/>
            <w:gridSpan w:val="10"/>
          </w:tcPr>
          <w:p w14:paraId="6DFDC1A0" w14:textId="77777777" w:rsidR="00247A89" w:rsidRPr="00FA3345" w:rsidRDefault="00247A89" w:rsidP="00FB4420">
            <w:pPr>
              <w:spacing w:after="0" w:line="240" w:lineRule="auto"/>
              <w:rPr>
                <w:rFonts w:ascii="Times New Roman" w:eastAsia="Times New Roman" w:hAnsi="Times New Roman" w:cs="Times New Roman"/>
                <w:bCs/>
                <w:color w:val="000000"/>
              </w:rPr>
            </w:pPr>
            <w:r>
              <w:rPr>
                <w:rFonts w:ascii="Times New Roman" w:hAnsi="Times New Roman"/>
                <w:color w:val="000000"/>
              </w:rPr>
              <w:t>Medical Biochemistry and Medical Physiology</w:t>
            </w:r>
          </w:p>
        </w:tc>
        <w:tc>
          <w:tcPr>
            <w:tcW w:w="2615" w:type="dxa"/>
            <w:gridSpan w:val="3"/>
            <w:vAlign w:val="center"/>
          </w:tcPr>
          <w:p w14:paraId="3AF9F7B5" w14:textId="77777777" w:rsidR="00247A89" w:rsidRPr="00FA3345" w:rsidRDefault="00247A89" w:rsidP="00FB4420">
            <w:pPr>
              <w:spacing w:after="0" w:line="240" w:lineRule="auto"/>
              <w:rPr>
                <w:rFonts w:ascii="Times New Roman" w:eastAsia="Times New Roman" w:hAnsi="Times New Roman" w:cs="Times New Roman"/>
                <w:bCs/>
                <w:color w:val="000000"/>
              </w:rPr>
            </w:pPr>
            <w:r>
              <w:rPr>
                <w:rFonts w:ascii="Times New Roman" w:hAnsi="Times New Roman"/>
                <w:color w:val="000000"/>
              </w:rPr>
              <w:t xml:space="preserve">As provided by the Rules of the First-Cycle Studies </w:t>
            </w:r>
          </w:p>
        </w:tc>
      </w:tr>
      <w:tr w:rsidR="00247A89" w:rsidRPr="00FA3345" w14:paraId="07FF8491"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0B0633D7"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Goals of the Course Unit </w:t>
            </w:r>
          </w:p>
        </w:tc>
      </w:tr>
      <w:tr w:rsidR="00247A89" w:rsidRPr="00FA3345" w14:paraId="7D2BCA9E" w14:textId="77777777" w:rsidTr="00FB4420">
        <w:tblPrEx>
          <w:tblCellMar>
            <w:top w:w="28" w:type="dxa"/>
            <w:bottom w:w="28" w:type="dxa"/>
          </w:tblCellMar>
        </w:tblPrEx>
        <w:trPr>
          <w:cantSplit/>
        </w:trPr>
        <w:tc>
          <w:tcPr>
            <w:tcW w:w="10201" w:type="dxa"/>
            <w:gridSpan w:val="13"/>
            <w:tcBorders>
              <w:top w:val="nil"/>
              <w:bottom w:val="single" w:sz="4" w:space="0" w:color="auto"/>
            </w:tcBorders>
          </w:tcPr>
          <w:p w14:paraId="708D70C3" w14:textId="77777777" w:rsidR="00247A89" w:rsidRPr="00FA3345" w:rsidRDefault="00247A89" w:rsidP="00FB4420">
            <w:pPr>
              <w:spacing w:after="0" w:line="240" w:lineRule="auto"/>
              <w:jc w:val="both"/>
              <w:rPr>
                <w:rFonts w:ascii="Times New Roman" w:eastAsia="Times New Roman" w:hAnsi="Times New Roman" w:cs="Times New Roman"/>
                <w:bCs/>
                <w:color w:val="FF0000"/>
              </w:rPr>
            </w:pPr>
            <w:r>
              <w:rPr>
                <w:rFonts w:ascii="Times New Roman" w:hAnsi="Times New Roman"/>
              </w:rPr>
              <w:t xml:space="preserve">The goals of classes in pathophysiology, as a bridge between pre-clinical and clinical course units, </w:t>
            </w:r>
            <w:r>
              <w:rPr>
                <w:rFonts w:ascii="Times New Roman" w:hAnsi="Times New Roman"/>
                <w:color w:val="000000"/>
              </w:rPr>
              <w:t>are for students to adopt current theoretical knowledge and practical skills in: 1. study and analysis</w:t>
            </w:r>
            <w:r>
              <w:rPr>
                <w:rFonts w:ascii="Times New Roman" w:hAnsi="Times New Roman"/>
              </w:rPr>
              <w:t xml:space="preserve"> of specific etiological factors and their properties, which instigate pathological processes in the organism, and their interaction with organism structure; 2. understanding the genesis of the pathological process at the level of the molecule, biochemical subcellular and cellular damage, through humoral tissue functional disorders, to function disorders of organ systems which lead to the incidence of disease; 3. study how a diseased organism adapts and responds to the environment; 4. principles of functional examination, and practical skills in functional examination system by system</w:t>
            </w:r>
          </w:p>
        </w:tc>
      </w:tr>
      <w:tr w:rsidR="00247A89" w:rsidRPr="00FA3345" w14:paraId="3AE795D9"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1409114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Learning Outcomes (knowledge acquired): </w:t>
            </w:r>
          </w:p>
        </w:tc>
      </w:tr>
      <w:tr w:rsidR="00247A89" w:rsidRPr="00FA3345" w14:paraId="194E27F6" w14:textId="77777777" w:rsidTr="00FB4420">
        <w:tblPrEx>
          <w:tblCellMar>
            <w:top w:w="28" w:type="dxa"/>
            <w:bottom w:w="28" w:type="dxa"/>
          </w:tblCellMar>
        </w:tblPrEx>
        <w:trPr>
          <w:cantSplit/>
          <w:trHeight w:val="738"/>
        </w:trPr>
        <w:tc>
          <w:tcPr>
            <w:tcW w:w="10201" w:type="dxa"/>
            <w:gridSpan w:val="13"/>
            <w:tcBorders>
              <w:top w:val="nil"/>
              <w:bottom w:val="single" w:sz="4" w:space="0" w:color="auto"/>
            </w:tcBorders>
          </w:tcPr>
          <w:p w14:paraId="616C7840" w14:textId="77777777" w:rsidR="00247A89" w:rsidRPr="00FA3345" w:rsidRDefault="00247A89" w:rsidP="00FB4420">
            <w:pPr>
              <w:spacing w:after="0" w:line="240" w:lineRule="auto"/>
              <w:jc w:val="both"/>
              <w:rPr>
                <w:rFonts w:ascii="Times New Roman" w:eastAsia="Times New Roman" w:hAnsi="Times New Roman" w:cs="Times New Roman"/>
                <w:bCs/>
              </w:rPr>
            </w:pPr>
            <w:r>
              <w:rPr>
                <w:rFonts w:ascii="Times New Roman" w:hAnsi="Times New Roman"/>
              </w:rPr>
              <w:t>Knowledge acquired during classes in pathophysiology enables the student and medical doctor to: 1. identify the cause of the disease; 2. get to know and understand the mechanisms of the incidence of function disorders in a diseased organism which lead to clinical manifestations of the disease; 3. adopt the practical skills in function examination system by system and interpretation of pathological results.</w:t>
            </w:r>
          </w:p>
        </w:tc>
      </w:tr>
      <w:tr w:rsidR="00247A89" w:rsidRPr="00FA3345" w14:paraId="054B15E4"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665FD3BE"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Contents of the Course Unit:</w:t>
            </w:r>
          </w:p>
        </w:tc>
      </w:tr>
      <w:tr w:rsidR="00247A89" w:rsidRPr="00FA3345" w14:paraId="227CF0C1" w14:textId="77777777" w:rsidTr="00FB4420">
        <w:tblPrEx>
          <w:tblCellMar>
            <w:top w:w="28" w:type="dxa"/>
            <w:bottom w:w="28" w:type="dxa"/>
          </w:tblCellMar>
        </w:tblPrEx>
        <w:trPr>
          <w:cantSplit/>
          <w:trHeight w:val="246"/>
        </w:trPr>
        <w:tc>
          <w:tcPr>
            <w:tcW w:w="10201" w:type="dxa"/>
            <w:gridSpan w:val="13"/>
            <w:tcBorders>
              <w:top w:val="nil"/>
              <w:bottom w:val="single" w:sz="4" w:space="0" w:color="auto"/>
            </w:tcBorders>
          </w:tcPr>
          <w:p w14:paraId="2C937497" w14:textId="77777777" w:rsidR="00247A89" w:rsidRPr="00FA3345" w:rsidRDefault="00247A89" w:rsidP="00FB4420">
            <w:pPr>
              <w:spacing w:after="0" w:line="240" w:lineRule="auto"/>
              <w:jc w:val="both"/>
              <w:rPr>
                <w:rFonts w:ascii="Times New Roman" w:eastAsia="Times New Roman" w:hAnsi="Times New Roman" w:cs="Times New Roman"/>
                <w:color w:val="000000"/>
              </w:rPr>
            </w:pPr>
            <w:r>
              <w:rPr>
                <w:rFonts w:ascii="Times New Roman" w:hAnsi="Times New Roman"/>
                <w:b/>
                <w:color w:val="000000"/>
              </w:rPr>
              <w:t>General pathophysiology</w:t>
            </w:r>
            <w:r>
              <w:rPr>
                <w:rFonts w:ascii="Times New Roman" w:hAnsi="Times New Roman"/>
                <w:color w:val="000000"/>
              </w:rPr>
              <w:t>: Etiology and pathogenesis, disease and death. Physical and chemical etiological factors. Inheritance as an etiological factor. Disorders of local circulation. Shock. Inflammation and infection. Organism defense mechanisms. Disorders of the immune system. Pathophysiological aspects of malignant tumors. Disorders of the metabolism of proteins, carbohydrates and lipids. Disorders of the metabolism of vitamins, essential oligoelements and enzymopathy. Disorders of Acid–Base balance, metabolism of water and electrolytes.</w:t>
            </w:r>
          </w:p>
          <w:p w14:paraId="2FEC9781" w14:textId="77777777" w:rsidR="00247A89" w:rsidRPr="00FA3345" w:rsidRDefault="00247A89" w:rsidP="00FB4420">
            <w:pPr>
              <w:spacing w:after="0" w:line="240" w:lineRule="auto"/>
              <w:jc w:val="both"/>
              <w:rPr>
                <w:rFonts w:ascii="Times New Roman" w:eastAsia="Times New Roman" w:hAnsi="Times New Roman" w:cs="Times New Roman"/>
                <w:color w:val="000000"/>
              </w:rPr>
            </w:pPr>
            <w:r>
              <w:rPr>
                <w:rFonts w:ascii="Times New Roman" w:hAnsi="Times New Roman"/>
                <w:b/>
                <w:color w:val="000000"/>
              </w:rPr>
              <w:t>Special pathophysiology</w:t>
            </w:r>
            <w:r>
              <w:rPr>
                <w:rFonts w:ascii="Times New Roman" w:hAnsi="Times New Roman"/>
                <w:color w:val="000000"/>
              </w:rPr>
              <w:t>: Endocrinopathies. Pathophysiology of the cardiovascular system. Pathophysiology of blood and hematopoietic organs. Pathophysiology of respiration. Pathophysiology of the digestive system. Disorders of the hepatobiliary system. Disorder of the function of the kidneys and the urinary tract. Pathophysiology of the nervous system. Disorders of the locomotor system.</w:t>
            </w:r>
          </w:p>
        </w:tc>
      </w:tr>
      <w:tr w:rsidR="00247A89" w:rsidRPr="00FA3345" w14:paraId="09DF519D"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2E2CDB2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Teaching Methods:</w:t>
            </w:r>
          </w:p>
        </w:tc>
      </w:tr>
      <w:tr w:rsidR="00247A89" w:rsidRPr="00FA3345" w14:paraId="689880C6" w14:textId="77777777" w:rsidTr="00FB4420">
        <w:tblPrEx>
          <w:tblCellMar>
            <w:top w:w="28" w:type="dxa"/>
            <w:bottom w:w="28" w:type="dxa"/>
          </w:tblCellMar>
        </w:tblPrEx>
        <w:trPr>
          <w:cantSplit/>
          <w:trHeight w:val="234"/>
        </w:trPr>
        <w:tc>
          <w:tcPr>
            <w:tcW w:w="10201" w:type="dxa"/>
            <w:gridSpan w:val="13"/>
            <w:tcBorders>
              <w:top w:val="nil"/>
              <w:bottom w:val="single" w:sz="4" w:space="0" w:color="auto"/>
            </w:tcBorders>
          </w:tcPr>
          <w:p w14:paraId="574AB898" w14:textId="77777777" w:rsidR="00247A89" w:rsidRPr="00FA3345" w:rsidRDefault="00247A89" w:rsidP="00FB4420">
            <w:pPr>
              <w:spacing w:after="0" w:line="240" w:lineRule="auto"/>
              <w:rPr>
                <w:rFonts w:ascii="Times New Roman" w:eastAsia="Times New Roman" w:hAnsi="Times New Roman" w:cs="Times New Roman"/>
              </w:rPr>
            </w:pPr>
            <w:r>
              <w:rPr>
                <w:rFonts w:ascii="Times New Roman" w:hAnsi="Times New Roman"/>
              </w:rPr>
              <w:t>The classes are given in the form of lectures, practicals, theoretical practicals, midterms, office hours, and independent student work</w:t>
            </w:r>
          </w:p>
        </w:tc>
      </w:tr>
      <w:tr w:rsidR="00247A89" w:rsidRPr="00FA3345" w14:paraId="02714765"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3D9118CD" w14:textId="77777777" w:rsidR="00247A89" w:rsidRPr="00FA3345" w:rsidRDefault="00247A89" w:rsidP="00FB4420">
            <w:pPr>
              <w:spacing w:after="0" w:line="240" w:lineRule="auto"/>
              <w:rPr>
                <w:rFonts w:ascii="Times New Roman" w:eastAsia="Times New Roman" w:hAnsi="Times New Roman" w:cs="Times New Roman"/>
              </w:rPr>
            </w:pPr>
            <w:r>
              <w:rPr>
                <w:rFonts w:ascii="Times New Roman" w:hAnsi="Times New Roman"/>
                <w:b/>
              </w:rPr>
              <w:t>Literature:</w:t>
            </w:r>
          </w:p>
        </w:tc>
      </w:tr>
      <w:tr w:rsidR="00247A89" w:rsidRPr="00FA3345" w14:paraId="412165AC" w14:textId="77777777" w:rsidTr="00FB4420">
        <w:tblPrEx>
          <w:tblCellMar>
            <w:top w:w="28" w:type="dxa"/>
            <w:bottom w:w="28" w:type="dxa"/>
          </w:tblCellMar>
        </w:tblPrEx>
        <w:trPr>
          <w:cantSplit/>
          <w:trHeight w:val="1815"/>
        </w:trPr>
        <w:tc>
          <w:tcPr>
            <w:tcW w:w="10201" w:type="dxa"/>
            <w:gridSpan w:val="13"/>
            <w:tcBorders>
              <w:top w:val="nil"/>
              <w:bottom w:val="single" w:sz="4" w:space="0" w:color="auto"/>
            </w:tcBorders>
          </w:tcPr>
          <w:p w14:paraId="4ECC95C7" w14:textId="77777777" w:rsidR="00247A89" w:rsidRPr="004B1E22" w:rsidRDefault="00247A89" w:rsidP="00FB4420">
            <w:pPr>
              <w:spacing w:after="0" w:line="240" w:lineRule="auto"/>
              <w:ind w:left="300"/>
              <w:jc w:val="both"/>
              <w:outlineLvl w:val="0"/>
              <w:rPr>
                <w:rFonts w:ascii="Times New Roman" w:eastAsia="Times New Roman" w:hAnsi="Times New Roman" w:cs="Times New Roman"/>
                <w:b/>
                <w:bCs/>
                <w:kern w:val="36"/>
                <w:lang w:val="en-US"/>
              </w:rPr>
            </w:pPr>
            <w:r w:rsidRPr="004B1E22">
              <w:rPr>
                <w:rFonts w:ascii="Times New Roman" w:hAnsi="Times New Roman"/>
                <w:b/>
                <w:lang w:val="en-US"/>
              </w:rPr>
              <w:t xml:space="preserve">Core reading: </w:t>
            </w:r>
          </w:p>
          <w:p w14:paraId="6E50055E" w14:textId="6E0C7570" w:rsidR="001C4E3D" w:rsidRPr="004B1E22" w:rsidRDefault="001C4E3D" w:rsidP="00E47807">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1. </w:t>
            </w:r>
            <w:r w:rsidR="00E47807" w:rsidRPr="004B1E22">
              <w:rPr>
                <w:rFonts w:ascii="Times New Roman" w:hAnsi="Times New Roman"/>
                <w:lang w:val="en-US"/>
              </w:rPr>
              <w:t xml:space="preserve">Hamer D, </w:t>
            </w:r>
            <w:r w:rsidR="004B1E22">
              <w:rPr>
                <w:rFonts w:ascii="Times New Roman" w:hAnsi="Times New Roman"/>
                <w:lang w:val="en-US"/>
              </w:rPr>
              <w:t xml:space="preserve">Mc Phee </w:t>
            </w:r>
            <w:r w:rsidR="00E47807" w:rsidRPr="004B1E22">
              <w:rPr>
                <w:rFonts w:ascii="Times New Roman" w:hAnsi="Times New Roman"/>
                <w:lang w:val="en-US"/>
              </w:rPr>
              <w:t>S. Pathophysiology of Disease:</w:t>
            </w:r>
            <w:r w:rsidR="004B1E22" w:rsidRPr="004B1E22">
              <w:rPr>
                <w:rFonts w:ascii="Times New Roman" w:hAnsi="Times New Roman"/>
                <w:lang w:val="en-US"/>
              </w:rPr>
              <w:t xml:space="preserve"> </w:t>
            </w:r>
            <w:r w:rsidR="00E47807" w:rsidRPr="004B1E22">
              <w:rPr>
                <w:rFonts w:ascii="Times New Roman" w:hAnsi="Times New Roman"/>
                <w:lang w:val="en-US"/>
              </w:rPr>
              <w:t>An Introduction to Clinical Medicine. 8th Edition. Lange</w:t>
            </w:r>
          </w:p>
          <w:p w14:paraId="4A4B4648" w14:textId="3765DFAC" w:rsidR="001C4E3D" w:rsidRPr="004B1E22" w:rsidRDefault="001C4E3D" w:rsidP="001C4E3D">
            <w:pPr>
              <w:spacing w:after="0" w:line="240" w:lineRule="auto"/>
              <w:jc w:val="both"/>
              <w:outlineLvl w:val="0"/>
              <w:rPr>
                <w:rFonts w:ascii="Times New Roman" w:hAnsi="Times New Roman"/>
                <w:b/>
                <w:u w:val="single"/>
                <w:lang w:val="en-US"/>
              </w:rPr>
            </w:pPr>
            <w:r w:rsidRPr="004B1E22">
              <w:rPr>
                <w:rFonts w:ascii="Times New Roman" w:hAnsi="Times New Roman"/>
                <w:lang w:val="en-US"/>
              </w:rPr>
              <w:t xml:space="preserve">        </w:t>
            </w:r>
            <w:r w:rsidR="00E47807" w:rsidRPr="004B1E22">
              <w:rPr>
                <w:rFonts w:ascii="Times New Roman" w:hAnsi="Times New Roman"/>
                <w:lang w:val="en-US"/>
              </w:rPr>
              <w:t xml:space="preserve"> Medical Books/Mc Graw-Hill; 2019</w:t>
            </w:r>
            <w:r w:rsidRPr="004B1E22">
              <w:rPr>
                <w:rFonts w:ascii="Times New Roman" w:hAnsi="Times New Roman"/>
                <w:lang w:val="en-US"/>
              </w:rPr>
              <w:t xml:space="preserve">. </w:t>
            </w:r>
            <w:r w:rsidRPr="004B1E22">
              <w:rPr>
                <w:rFonts w:ascii="Times New Roman" w:hAnsi="Times New Roman"/>
                <w:b/>
                <w:u w:val="single"/>
                <w:lang w:val="en-US"/>
              </w:rPr>
              <w:t>or</w:t>
            </w:r>
          </w:p>
          <w:p w14:paraId="270B2440" w14:textId="6A7BC105" w:rsidR="001C4E3D" w:rsidRPr="004B1E22" w:rsidRDefault="001C4E3D" w:rsidP="001C4E3D">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2. </w:t>
            </w:r>
            <w:r w:rsidR="00E47807" w:rsidRPr="004B1E22">
              <w:rPr>
                <w:rFonts w:ascii="Times New Roman" w:hAnsi="Times New Roman"/>
                <w:lang w:val="en-US"/>
              </w:rPr>
              <w:t>Hamer D,</w:t>
            </w:r>
            <w:r w:rsidR="00247A89" w:rsidRPr="004B1E22">
              <w:rPr>
                <w:rFonts w:ascii="Times New Roman" w:hAnsi="Times New Roman"/>
                <w:lang w:val="en-US"/>
              </w:rPr>
              <w:t xml:space="preserve"> </w:t>
            </w:r>
            <w:r w:rsidR="00026D38">
              <w:rPr>
                <w:rFonts w:ascii="Times New Roman" w:hAnsi="Times New Roman"/>
                <w:lang w:val="en-US"/>
              </w:rPr>
              <w:t xml:space="preserve">Mc Phee </w:t>
            </w:r>
            <w:r w:rsidR="00E47807" w:rsidRPr="004B1E22">
              <w:rPr>
                <w:rFonts w:ascii="Times New Roman" w:hAnsi="Times New Roman"/>
                <w:lang w:val="en-US"/>
              </w:rPr>
              <w:t>S. Pathophysiology of Disease</w:t>
            </w:r>
            <w:r w:rsidRPr="004B1E22">
              <w:rPr>
                <w:rFonts w:ascii="Times New Roman" w:hAnsi="Times New Roman"/>
                <w:lang w:val="en-US"/>
              </w:rPr>
              <w:t>:</w:t>
            </w:r>
            <w:r w:rsidR="004B1E22" w:rsidRPr="004B1E22">
              <w:rPr>
                <w:rFonts w:ascii="Times New Roman" w:hAnsi="Times New Roman"/>
                <w:lang w:val="en-US"/>
              </w:rPr>
              <w:t xml:space="preserve"> </w:t>
            </w:r>
            <w:r w:rsidRPr="004B1E22">
              <w:rPr>
                <w:rFonts w:ascii="Times New Roman" w:hAnsi="Times New Roman"/>
                <w:lang w:val="en-US"/>
              </w:rPr>
              <w:t>An Introduction to Clinical Medicine. 7th Edition. Lange</w:t>
            </w:r>
          </w:p>
          <w:p w14:paraId="11518D01" w14:textId="4A4C8FA4" w:rsidR="001C4E3D" w:rsidRPr="004B1E22" w:rsidRDefault="001C4E3D" w:rsidP="001C4E3D">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    Medical Books/Mc Graw-Hill; 2014.</w:t>
            </w:r>
          </w:p>
          <w:p w14:paraId="5E611BA4" w14:textId="77777777" w:rsidR="00D02144" w:rsidRDefault="001C4E3D" w:rsidP="002E1AF3">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3. </w:t>
            </w:r>
            <w:r w:rsidR="002E1AF3" w:rsidRPr="004B1E22">
              <w:rPr>
                <w:rFonts w:ascii="Times New Roman" w:hAnsi="Times New Roman"/>
                <w:lang w:val="en-US"/>
              </w:rPr>
              <w:t>Dujmović</w:t>
            </w:r>
            <w:r w:rsidR="00D02144">
              <w:rPr>
                <w:rFonts w:ascii="Times New Roman" w:hAnsi="Times New Roman"/>
                <w:lang w:val="en-US"/>
              </w:rPr>
              <w:t xml:space="preserve"> F, Stošić Z, Đerić M. Book of Practical</w:t>
            </w:r>
            <w:r w:rsidR="002E1AF3" w:rsidRPr="004B1E22">
              <w:rPr>
                <w:rFonts w:ascii="Times New Roman" w:hAnsi="Times New Roman"/>
                <w:lang w:val="en-US"/>
              </w:rPr>
              <w:t xml:space="preserve"> </w:t>
            </w:r>
            <w:r w:rsidR="00D02144">
              <w:rPr>
                <w:rFonts w:ascii="Times New Roman" w:hAnsi="Times New Roman"/>
                <w:lang w:val="en-US"/>
              </w:rPr>
              <w:t xml:space="preserve">Exercises </w:t>
            </w:r>
            <w:r w:rsidR="002E1AF3" w:rsidRPr="004B1E22">
              <w:rPr>
                <w:rFonts w:ascii="Times New Roman" w:hAnsi="Times New Roman"/>
                <w:lang w:val="en-US"/>
              </w:rPr>
              <w:t>in Pathophysiology. Faculty of Medicine</w:t>
            </w:r>
          </w:p>
          <w:p w14:paraId="046566B2" w14:textId="06CAE230" w:rsidR="00247A89" w:rsidRPr="004B1E22" w:rsidRDefault="00D02144" w:rsidP="002E1AF3">
            <w:pPr>
              <w:spacing w:after="0" w:line="240" w:lineRule="auto"/>
              <w:ind w:left="300"/>
              <w:jc w:val="both"/>
              <w:outlineLvl w:val="0"/>
              <w:rPr>
                <w:rFonts w:ascii="Times New Roman" w:hAnsi="Times New Roman"/>
                <w:lang w:val="en-US"/>
              </w:rPr>
            </w:pPr>
            <w:r>
              <w:rPr>
                <w:rFonts w:ascii="Times New Roman" w:hAnsi="Times New Roman"/>
                <w:lang w:val="en-US"/>
              </w:rPr>
              <w:t xml:space="preserve">   </w:t>
            </w:r>
            <w:r w:rsidR="002E1AF3" w:rsidRPr="004B1E22">
              <w:rPr>
                <w:rFonts w:ascii="Times New Roman" w:hAnsi="Times New Roman"/>
                <w:lang w:val="en-US"/>
              </w:rPr>
              <w:t xml:space="preserve"> University of Novi Sad.</w:t>
            </w:r>
          </w:p>
        </w:tc>
      </w:tr>
      <w:tr w:rsidR="00247A89" w:rsidRPr="00FA3345" w14:paraId="5B2BDD7E" w14:textId="77777777" w:rsidTr="00FB4420">
        <w:tblPrEx>
          <w:tblCellMar>
            <w:top w:w="28" w:type="dxa"/>
            <w:bottom w:w="28" w:type="dxa"/>
          </w:tblCellMar>
        </w:tblPrEx>
        <w:trPr>
          <w:cantSplit/>
          <w:trHeight w:val="187"/>
        </w:trPr>
        <w:tc>
          <w:tcPr>
            <w:tcW w:w="10201" w:type="dxa"/>
            <w:gridSpan w:val="13"/>
            <w:tcBorders>
              <w:bottom w:val="single" w:sz="4" w:space="0" w:color="auto"/>
            </w:tcBorders>
            <w:shd w:val="clear" w:color="auto" w:fill="99CCFF"/>
          </w:tcPr>
          <w:p w14:paraId="39465B5D"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Examination Form: </w:t>
            </w:r>
          </w:p>
        </w:tc>
      </w:tr>
      <w:tr w:rsidR="00247A89" w:rsidRPr="00FA3345" w14:paraId="461F384F" w14:textId="77777777" w:rsidTr="00FB4420">
        <w:tblPrEx>
          <w:tblCellMar>
            <w:top w:w="28" w:type="dxa"/>
            <w:bottom w:w="28" w:type="dxa"/>
          </w:tblCellMar>
        </w:tblPrEx>
        <w:trPr>
          <w:cantSplit/>
          <w:trHeight w:val="104"/>
        </w:trPr>
        <w:tc>
          <w:tcPr>
            <w:tcW w:w="3369" w:type="dxa"/>
            <w:gridSpan w:val="5"/>
            <w:tcBorders>
              <w:top w:val="single" w:sz="4" w:space="0" w:color="auto"/>
            </w:tcBorders>
            <w:shd w:val="clear" w:color="auto" w:fill="B3B3B3"/>
          </w:tcPr>
          <w:p w14:paraId="3CDD1B64" w14:textId="77777777" w:rsidR="00247A89" w:rsidRPr="00FA3345" w:rsidRDefault="00247A89" w:rsidP="00FB4420">
            <w:pPr>
              <w:spacing w:after="0" w:line="240" w:lineRule="auto"/>
              <w:jc w:val="center"/>
              <w:rPr>
                <w:rFonts w:ascii="Times New Roman" w:eastAsia="Times New Roman" w:hAnsi="Times New Roman" w:cs="Times New Roman"/>
                <w:b/>
              </w:rPr>
            </w:pPr>
            <w:r>
              <w:rPr>
                <w:rFonts w:ascii="Times New Roman" w:hAnsi="Times New Roman"/>
                <w:b/>
              </w:rPr>
              <w:t>Pre-Exam Duties</w:t>
            </w:r>
          </w:p>
        </w:tc>
        <w:tc>
          <w:tcPr>
            <w:tcW w:w="3600" w:type="dxa"/>
            <w:gridSpan w:val="4"/>
            <w:tcBorders>
              <w:top w:val="single" w:sz="4" w:space="0" w:color="auto"/>
            </w:tcBorders>
            <w:shd w:val="clear" w:color="auto" w:fill="B3B3B3"/>
          </w:tcPr>
          <w:p w14:paraId="0970A565" w14:textId="77777777" w:rsidR="00247A89" w:rsidRPr="00FA3345" w:rsidRDefault="00247A89" w:rsidP="00FB4420">
            <w:pPr>
              <w:spacing w:after="0" w:line="240" w:lineRule="auto"/>
              <w:jc w:val="center"/>
              <w:rPr>
                <w:rFonts w:ascii="Times New Roman" w:eastAsia="Times New Roman" w:hAnsi="Times New Roman" w:cs="Times New Roman"/>
                <w:b/>
              </w:rPr>
            </w:pPr>
            <w:r>
              <w:rPr>
                <w:rFonts w:ascii="Times New Roman" w:hAnsi="Times New Roman"/>
                <w:b/>
              </w:rPr>
              <w:t>Final Exam</w:t>
            </w:r>
          </w:p>
        </w:tc>
        <w:tc>
          <w:tcPr>
            <w:tcW w:w="3232" w:type="dxa"/>
            <w:gridSpan w:val="4"/>
            <w:tcBorders>
              <w:top w:val="single" w:sz="4" w:space="0" w:color="auto"/>
            </w:tcBorders>
            <w:shd w:val="clear" w:color="auto" w:fill="B3B3B3"/>
          </w:tcPr>
          <w:p w14:paraId="4185D3E8" w14:textId="77777777" w:rsidR="00247A89" w:rsidRPr="00FA3345" w:rsidRDefault="00247A89" w:rsidP="00FB4420">
            <w:pPr>
              <w:spacing w:after="0" w:line="240" w:lineRule="auto"/>
              <w:jc w:val="center"/>
              <w:rPr>
                <w:rFonts w:ascii="Times New Roman" w:eastAsia="Times New Roman" w:hAnsi="Times New Roman" w:cs="Times New Roman"/>
                <w:b/>
              </w:rPr>
            </w:pPr>
            <w:r>
              <w:rPr>
                <w:rFonts w:ascii="Times New Roman" w:hAnsi="Times New Roman"/>
                <w:b/>
              </w:rPr>
              <w:t>Total Points</w:t>
            </w:r>
          </w:p>
        </w:tc>
      </w:tr>
      <w:tr w:rsidR="00247A89" w:rsidRPr="00FA3345" w14:paraId="418F07C0" w14:textId="77777777" w:rsidTr="00FB4420">
        <w:tblPrEx>
          <w:tblCellMar>
            <w:top w:w="28" w:type="dxa"/>
            <w:bottom w:w="28" w:type="dxa"/>
          </w:tblCellMar>
        </w:tblPrEx>
        <w:trPr>
          <w:cantSplit/>
          <w:trHeight w:val="103"/>
        </w:trPr>
        <w:tc>
          <w:tcPr>
            <w:tcW w:w="2793" w:type="dxa"/>
            <w:gridSpan w:val="3"/>
            <w:tcBorders>
              <w:top w:val="nil"/>
            </w:tcBorders>
          </w:tcPr>
          <w:p w14:paraId="36BFFE0D" w14:textId="77777777" w:rsidR="00247A89" w:rsidRPr="00FA3345" w:rsidRDefault="00247A89" w:rsidP="00FB4420">
            <w:pPr>
              <w:spacing w:after="0" w:line="240" w:lineRule="auto"/>
              <w:jc w:val="both"/>
              <w:rPr>
                <w:rFonts w:ascii="Times New Roman" w:eastAsia="Times New Roman" w:hAnsi="Times New Roman" w:cs="Times New Roman"/>
                <w:b/>
                <w:bCs/>
              </w:rPr>
            </w:pPr>
            <w:r>
              <w:rPr>
                <w:rFonts w:ascii="Times New Roman" w:hAnsi="Times New Roman"/>
                <w:b/>
              </w:rPr>
              <w:t>Attendance</w:t>
            </w:r>
          </w:p>
        </w:tc>
        <w:tc>
          <w:tcPr>
            <w:tcW w:w="576" w:type="dxa"/>
            <w:gridSpan w:val="2"/>
            <w:tcBorders>
              <w:top w:val="nil"/>
            </w:tcBorders>
            <w:vAlign w:val="center"/>
          </w:tcPr>
          <w:p w14:paraId="7E81F9E8"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10</w:t>
            </w:r>
          </w:p>
        </w:tc>
        <w:tc>
          <w:tcPr>
            <w:tcW w:w="3024" w:type="dxa"/>
            <w:gridSpan w:val="3"/>
            <w:tcBorders>
              <w:top w:val="nil"/>
            </w:tcBorders>
          </w:tcPr>
          <w:p w14:paraId="5B5D3A88" w14:textId="77777777" w:rsidR="00247A89" w:rsidRPr="00FA3345" w:rsidRDefault="00247A89" w:rsidP="00FB4420">
            <w:pPr>
              <w:spacing w:after="0" w:line="240" w:lineRule="auto"/>
              <w:jc w:val="both"/>
              <w:rPr>
                <w:rFonts w:ascii="Times New Roman" w:eastAsia="Times New Roman" w:hAnsi="Times New Roman" w:cs="Times New Roman"/>
                <w:b/>
                <w:bCs/>
              </w:rPr>
            </w:pPr>
            <w:r>
              <w:rPr>
                <w:rFonts w:ascii="Times New Roman" w:hAnsi="Times New Roman"/>
                <w:b/>
              </w:rPr>
              <w:t>Practical and oral</w:t>
            </w:r>
          </w:p>
        </w:tc>
        <w:tc>
          <w:tcPr>
            <w:tcW w:w="576" w:type="dxa"/>
            <w:tcBorders>
              <w:top w:val="nil"/>
            </w:tcBorders>
            <w:vAlign w:val="center"/>
          </w:tcPr>
          <w:p w14:paraId="229B59FC"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50</w:t>
            </w:r>
          </w:p>
        </w:tc>
        <w:tc>
          <w:tcPr>
            <w:tcW w:w="3232" w:type="dxa"/>
            <w:gridSpan w:val="4"/>
            <w:vMerge w:val="restart"/>
            <w:tcBorders>
              <w:top w:val="nil"/>
            </w:tcBorders>
            <w:vAlign w:val="center"/>
          </w:tcPr>
          <w:p w14:paraId="3CD7E593"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100</w:t>
            </w:r>
          </w:p>
        </w:tc>
      </w:tr>
      <w:tr w:rsidR="00247A89" w:rsidRPr="00FA3345" w14:paraId="647B1AAD" w14:textId="77777777" w:rsidTr="00FB4420">
        <w:tblPrEx>
          <w:tblCellMar>
            <w:top w:w="28" w:type="dxa"/>
            <w:bottom w:w="28" w:type="dxa"/>
          </w:tblCellMar>
        </w:tblPrEx>
        <w:trPr>
          <w:cantSplit/>
          <w:trHeight w:val="103"/>
        </w:trPr>
        <w:tc>
          <w:tcPr>
            <w:tcW w:w="2793" w:type="dxa"/>
            <w:gridSpan w:val="3"/>
            <w:tcBorders>
              <w:top w:val="nil"/>
            </w:tcBorders>
          </w:tcPr>
          <w:p w14:paraId="2729384E" w14:textId="77777777" w:rsidR="00247A89" w:rsidRPr="00FA3345" w:rsidRDefault="00247A89" w:rsidP="00FB4420">
            <w:pPr>
              <w:spacing w:after="0" w:line="240" w:lineRule="auto"/>
              <w:jc w:val="both"/>
              <w:rPr>
                <w:rFonts w:ascii="Times New Roman" w:eastAsia="Times New Roman" w:hAnsi="Times New Roman" w:cs="Times New Roman"/>
                <w:b/>
                <w:bCs/>
              </w:rPr>
            </w:pPr>
            <w:r>
              <w:rPr>
                <w:rFonts w:ascii="Times New Roman" w:hAnsi="Times New Roman"/>
                <w:b/>
              </w:rPr>
              <w:t>Midterms</w:t>
            </w:r>
          </w:p>
        </w:tc>
        <w:tc>
          <w:tcPr>
            <w:tcW w:w="576" w:type="dxa"/>
            <w:gridSpan w:val="2"/>
            <w:tcBorders>
              <w:top w:val="nil"/>
            </w:tcBorders>
            <w:vAlign w:val="center"/>
          </w:tcPr>
          <w:p w14:paraId="7361BCDC"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40</w:t>
            </w:r>
          </w:p>
        </w:tc>
        <w:tc>
          <w:tcPr>
            <w:tcW w:w="3024" w:type="dxa"/>
            <w:gridSpan w:val="3"/>
            <w:tcBorders>
              <w:top w:val="nil"/>
            </w:tcBorders>
          </w:tcPr>
          <w:p w14:paraId="07972A6D" w14:textId="77777777" w:rsidR="00247A89" w:rsidRPr="00FA3345" w:rsidRDefault="00247A89" w:rsidP="00FB4420">
            <w:pPr>
              <w:spacing w:after="0" w:line="240" w:lineRule="auto"/>
              <w:jc w:val="both"/>
              <w:rPr>
                <w:rFonts w:ascii="Times New Roman" w:eastAsia="Times New Roman" w:hAnsi="Times New Roman" w:cs="Times New Roman"/>
                <w:b/>
                <w:bCs/>
                <w:lang w:val="sr-Cyrl-CS"/>
              </w:rPr>
            </w:pPr>
          </w:p>
        </w:tc>
        <w:tc>
          <w:tcPr>
            <w:tcW w:w="576" w:type="dxa"/>
            <w:tcBorders>
              <w:top w:val="nil"/>
            </w:tcBorders>
            <w:vAlign w:val="center"/>
          </w:tcPr>
          <w:p w14:paraId="4D435DA8" w14:textId="77777777" w:rsidR="00247A89" w:rsidRPr="00FA3345" w:rsidRDefault="00247A89" w:rsidP="00FB4420">
            <w:pPr>
              <w:spacing w:after="0" w:line="240" w:lineRule="auto"/>
              <w:jc w:val="center"/>
              <w:rPr>
                <w:rFonts w:ascii="Times New Roman" w:eastAsia="Times New Roman" w:hAnsi="Times New Roman" w:cs="Times New Roman"/>
                <w:b/>
                <w:bCs/>
                <w:lang w:val="sr-Cyrl-CS"/>
              </w:rPr>
            </w:pPr>
          </w:p>
        </w:tc>
        <w:tc>
          <w:tcPr>
            <w:tcW w:w="3232" w:type="dxa"/>
            <w:gridSpan w:val="4"/>
            <w:vMerge/>
          </w:tcPr>
          <w:p w14:paraId="2C6CC981" w14:textId="77777777" w:rsidR="00247A89" w:rsidRPr="00FA3345" w:rsidRDefault="00247A89" w:rsidP="00FB4420">
            <w:pPr>
              <w:spacing w:after="0" w:line="240" w:lineRule="auto"/>
              <w:jc w:val="both"/>
              <w:rPr>
                <w:rFonts w:ascii="Times New Roman" w:eastAsia="Times New Roman" w:hAnsi="Times New Roman" w:cs="Times New Roman"/>
                <w:b/>
                <w:bCs/>
                <w:lang w:val="sr-Cyrl-CS"/>
              </w:rPr>
            </w:pPr>
          </w:p>
        </w:tc>
      </w:tr>
      <w:tr w:rsidR="00247A89" w:rsidRPr="00FA3345" w14:paraId="6729E1B8"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61BB3D4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Note for the Course Unit: </w:t>
            </w:r>
          </w:p>
        </w:tc>
      </w:tr>
      <w:tr w:rsidR="00247A89" w:rsidRPr="00FA3345" w14:paraId="455DF368" w14:textId="77777777" w:rsidTr="00FB4420">
        <w:tblPrEx>
          <w:tblCellMar>
            <w:top w:w="28" w:type="dxa"/>
            <w:bottom w:w="28" w:type="dxa"/>
          </w:tblCellMar>
        </w:tblPrEx>
        <w:trPr>
          <w:cantSplit/>
        </w:trPr>
        <w:tc>
          <w:tcPr>
            <w:tcW w:w="10201" w:type="dxa"/>
            <w:gridSpan w:val="13"/>
            <w:tcBorders>
              <w:top w:val="nil"/>
            </w:tcBorders>
          </w:tcPr>
          <w:p w14:paraId="4CC53A64" w14:textId="77777777" w:rsidR="00247A89" w:rsidRPr="00FA3345" w:rsidRDefault="00247A89" w:rsidP="00FB4420">
            <w:pPr>
              <w:spacing w:after="0" w:line="240" w:lineRule="auto"/>
              <w:rPr>
                <w:rFonts w:ascii="Times New Roman" w:eastAsia="Times New Roman" w:hAnsi="Times New Roman" w:cs="Times New Roman"/>
                <w:b/>
                <w:bCs/>
                <w:lang w:val="sr-Cyrl-CS"/>
              </w:rPr>
            </w:pPr>
          </w:p>
        </w:tc>
      </w:tr>
      <w:tr w:rsidR="00247A89" w:rsidRPr="00FA3345" w14:paraId="4D4EA13C" w14:textId="77777777" w:rsidTr="00FB4420">
        <w:tblPrEx>
          <w:tblCellMar>
            <w:top w:w="28" w:type="dxa"/>
            <w:bottom w:w="28" w:type="dxa"/>
          </w:tblCellMar>
        </w:tblPrEx>
        <w:trPr>
          <w:cantSplit/>
        </w:trPr>
        <w:tc>
          <w:tcPr>
            <w:tcW w:w="10201" w:type="dxa"/>
            <w:gridSpan w:val="13"/>
          </w:tcPr>
          <w:p w14:paraId="404FB7E5" w14:textId="4A51749A"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Syllabus Designer: Prof. Dr Nela Rašeta Simović</w:t>
            </w:r>
            <w:r w:rsidR="00B04E01">
              <w:rPr>
                <w:rFonts w:ascii="Times New Roman" w:hAnsi="Times New Roman"/>
                <w:b/>
              </w:rPr>
              <w:t xml:space="preserve">; </w:t>
            </w:r>
            <w:r w:rsidR="00B04E01" w:rsidRPr="00B04E01">
              <w:rPr>
                <w:rFonts w:ascii="Times New Roman" w:hAnsi="Times New Roman"/>
                <w:b/>
              </w:rPr>
              <w:t>Prof. Dr Darko Golić</w:t>
            </w:r>
          </w:p>
        </w:tc>
      </w:tr>
    </w:tbl>
    <w:p w14:paraId="524CF601" w14:textId="2B13B791" w:rsidR="00F40F51" w:rsidRDefault="00F40F51"/>
    <w:p w14:paraId="2437DF54" w14:textId="77777777" w:rsidR="00F40F51" w:rsidRPr="00F40F51" w:rsidRDefault="00F40F51" w:rsidP="00F40F51"/>
    <w:p w14:paraId="34FAC458" w14:textId="77777777" w:rsidR="00B064A2" w:rsidRPr="00B064A2" w:rsidRDefault="00B064A2" w:rsidP="00B064A2">
      <w:pPr>
        <w:shd w:val="clear" w:color="auto" w:fill="FFFFFF"/>
        <w:spacing w:after="150" w:line="240" w:lineRule="auto"/>
        <w:outlineLvl w:val="1"/>
        <w:rPr>
          <w:rFonts w:ascii="Raleway" w:eastAsia="Times New Roman" w:hAnsi="Raleway" w:cs="Times New Roman"/>
          <w:b/>
          <w:bCs/>
          <w:sz w:val="36"/>
          <w:szCs w:val="36"/>
          <w:lang w:val="en-US"/>
        </w:rPr>
      </w:pPr>
      <w:r w:rsidRPr="00B064A2">
        <w:rPr>
          <w:rFonts w:ascii="Raleway" w:eastAsia="Times New Roman" w:hAnsi="Raleway" w:cs="Times New Roman"/>
          <w:b/>
          <w:bCs/>
          <w:sz w:val="36"/>
          <w:szCs w:val="36"/>
          <w:lang w:val="en-US"/>
        </w:rPr>
        <w:t>Craniotomy</w:t>
      </w:r>
    </w:p>
    <w:p w14:paraId="134B2310" w14:textId="77777777" w:rsidR="00B064A2" w:rsidRPr="00B064A2" w:rsidRDefault="00B064A2" w:rsidP="00B064A2">
      <w:pPr>
        <w:shd w:val="clear" w:color="auto" w:fill="FFFFFF"/>
        <w:spacing w:after="150" w:line="240" w:lineRule="auto"/>
        <w:rPr>
          <w:rFonts w:ascii="Raleway" w:eastAsia="Times New Roman" w:hAnsi="Raleway" w:cs="Times New Roman"/>
          <w:color w:val="0C0C0C"/>
          <w:sz w:val="23"/>
          <w:szCs w:val="23"/>
          <w:lang w:val="en-US"/>
        </w:rPr>
      </w:pPr>
      <w:r w:rsidRPr="00B064A2">
        <w:rPr>
          <w:rFonts w:ascii="Raleway" w:eastAsia="Times New Roman" w:hAnsi="Raleway" w:cs="Times New Roman"/>
          <w:color w:val="0C0C0C"/>
          <w:sz w:val="23"/>
          <w:szCs w:val="23"/>
          <w:lang w:val="en-US"/>
        </w:rPr>
        <w:t>A Craniotomy is the most commonly performed surgery for brain tumor removal. It also may be done to remove a blood clot (hematoma), to control hemorrhage from a weak, leaking blood vessel (cerebral aneurysm), to repair arteriovenous malformations (abnormal connections of blood vessels), to drain a brain abscess, to relieve pressure inside the skull, to perform a biopsy, or to inspect the brain.</w:t>
      </w:r>
    </w:p>
    <w:p w14:paraId="448CCE0A" w14:textId="77777777" w:rsidR="00B064A2" w:rsidRPr="00B064A2" w:rsidRDefault="00B064A2" w:rsidP="00B064A2">
      <w:pPr>
        <w:shd w:val="clear" w:color="auto" w:fill="FFFFFF"/>
        <w:spacing w:after="150" w:line="240" w:lineRule="auto"/>
        <w:outlineLvl w:val="1"/>
        <w:rPr>
          <w:rFonts w:ascii="Raleway" w:eastAsia="Times New Roman" w:hAnsi="Raleway" w:cs="Times New Roman"/>
          <w:b/>
          <w:bCs/>
          <w:sz w:val="36"/>
          <w:szCs w:val="36"/>
          <w:lang w:val="en-US"/>
        </w:rPr>
      </w:pPr>
      <w:r w:rsidRPr="00B064A2">
        <w:rPr>
          <w:rFonts w:ascii="Raleway" w:eastAsia="Times New Roman" w:hAnsi="Raleway" w:cs="Times New Roman"/>
          <w:b/>
          <w:bCs/>
          <w:sz w:val="36"/>
          <w:szCs w:val="36"/>
          <w:lang w:val="en-US"/>
        </w:rPr>
        <w:t>Craniectomy</w:t>
      </w:r>
    </w:p>
    <w:p w14:paraId="68C93C6F" w14:textId="77777777" w:rsidR="00B064A2" w:rsidRPr="00B064A2" w:rsidRDefault="00B064A2" w:rsidP="00B064A2">
      <w:pPr>
        <w:shd w:val="clear" w:color="auto" w:fill="FFFFFF"/>
        <w:spacing w:after="150" w:line="240" w:lineRule="auto"/>
        <w:rPr>
          <w:rFonts w:ascii="Raleway" w:eastAsia="Times New Roman" w:hAnsi="Raleway" w:cs="Times New Roman"/>
          <w:color w:val="0C0C0C"/>
          <w:sz w:val="23"/>
          <w:szCs w:val="23"/>
          <w:lang w:val="en-US"/>
        </w:rPr>
      </w:pPr>
      <w:r w:rsidRPr="00B064A2">
        <w:rPr>
          <w:rFonts w:ascii="Raleway" w:eastAsia="Times New Roman" w:hAnsi="Raleway" w:cs="Times New Roman"/>
          <w:color w:val="0C0C0C"/>
          <w:sz w:val="23"/>
          <w:szCs w:val="23"/>
          <w:lang w:val="en-US"/>
        </w:rPr>
        <w:t>A Craniectomy is similar to a craniotomy as both procedures involve removing a portion of the skull, the difference is that after a craniotomy the bone is replaced and after a craniectomy the bone is not immediately replaced</w:t>
      </w:r>
    </w:p>
    <w:p w14:paraId="483A5598" w14:textId="77777777" w:rsidR="00F40F51" w:rsidRPr="00B064A2" w:rsidRDefault="00F40F51" w:rsidP="00F40F51">
      <w:pPr>
        <w:rPr>
          <w:lang w:val="en-US"/>
        </w:rPr>
      </w:pPr>
    </w:p>
    <w:p w14:paraId="6541D8EB" w14:textId="77777777" w:rsidR="00B064A2" w:rsidRDefault="00B064A2" w:rsidP="00B064A2">
      <w:r>
        <w:t>Краниотомија</w:t>
      </w:r>
    </w:p>
    <w:p w14:paraId="2A2BAC94" w14:textId="77777777" w:rsidR="00B064A2" w:rsidRDefault="00B064A2" w:rsidP="00B064A2">
      <w:r>
        <w:t>Краниотомија је најчешће извођена операција за уклањање тумора на мозгу. Такође се може урадити за уклањање крвног угрушка (хематома), за контролу крварења из слабог крвног суда који цури (церебрална анеуризма), за поправку артериовенских малформација (ненормалне везе крвних судова), за дренирање апсцеса мозга, за смањење притиска унутар лобање, да изврши биопсију или да прегледа мозак.</w:t>
      </w:r>
    </w:p>
    <w:p w14:paraId="6888713F" w14:textId="77777777" w:rsidR="00B064A2" w:rsidRDefault="00B064A2" w:rsidP="00B064A2">
      <w:r>
        <w:t>Краниектомија</w:t>
      </w:r>
    </w:p>
    <w:p w14:paraId="752BEBD2" w14:textId="556D62AA" w:rsidR="00F40F51" w:rsidRPr="00F40F51" w:rsidRDefault="00B064A2" w:rsidP="00B064A2">
      <w:r>
        <w:t>Краниектомија је слична краниотомији јер обе процедуре укључују уклањање дела лобање, разлика је у томе што се после краниотомије кост замењује, а после краниектомије кост се не замењује одмах.</w:t>
      </w:r>
    </w:p>
    <w:p w14:paraId="55065A93" w14:textId="77777777" w:rsidR="00F40F51" w:rsidRPr="00F40F51" w:rsidRDefault="00F40F51" w:rsidP="00F40F51"/>
    <w:p w14:paraId="3FE0BD4E" w14:textId="77777777" w:rsidR="00F40F51" w:rsidRPr="00F40F51" w:rsidRDefault="00F40F51" w:rsidP="00F40F51"/>
    <w:p w14:paraId="2E75F01F" w14:textId="2BCB2098" w:rsidR="00F40F51" w:rsidRDefault="00F40F51" w:rsidP="00F40F51"/>
    <w:p w14:paraId="2AAE3718" w14:textId="77777777" w:rsidR="00CF79BE" w:rsidRPr="00F40F51" w:rsidRDefault="00CF79BE" w:rsidP="00F40F51"/>
    <w:sectPr w:rsidR="00CF79BE" w:rsidRPr="00F40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9"/>
    <w:rsid w:val="00026D38"/>
    <w:rsid w:val="001C4E3D"/>
    <w:rsid w:val="00247A89"/>
    <w:rsid w:val="002E1AF3"/>
    <w:rsid w:val="004009E6"/>
    <w:rsid w:val="004B1E22"/>
    <w:rsid w:val="004F7906"/>
    <w:rsid w:val="00584AA0"/>
    <w:rsid w:val="00763D6E"/>
    <w:rsid w:val="0091030E"/>
    <w:rsid w:val="00AB4B14"/>
    <w:rsid w:val="00AC1AA5"/>
    <w:rsid w:val="00B04E01"/>
    <w:rsid w:val="00B064A2"/>
    <w:rsid w:val="00C10872"/>
    <w:rsid w:val="00CB689A"/>
    <w:rsid w:val="00CF79BE"/>
    <w:rsid w:val="00D02144"/>
    <w:rsid w:val="00DD6715"/>
    <w:rsid w:val="00E43A82"/>
    <w:rsid w:val="00E44D93"/>
    <w:rsid w:val="00E47807"/>
    <w:rsid w:val="00E51776"/>
    <w:rsid w:val="00F40F51"/>
    <w:rsid w:val="00F80B5B"/>
    <w:rsid w:val="00FF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347C"/>
  <w15:chartTrackingRefBased/>
  <w15:docId w15:val="{BD411C75-75F3-4683-AB54-697E003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89"/>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99721">
      <w:bodyDiv w:val="1"/>
      <w:marLeft w:val="0"/>
      <w:marRight w:val="0"/>
      <w:marTop w:val="0"/>
      <w:marBottom w:val="0"/>
      <w:divBdr>
        <w:top w:val="none" w:sz="0" w:space="0" w:color="auto"/>
        <w:left w:val="none" w:sz="0" w:space="0" w:color="auto"/>
        <w:bottom w:val="none" w:sz="0" w:space="0" w:color="auto"/>
        <w:right w:val="none" w:sz="0" w:space="0" w:color="auto"/>
      </w:divBdr>
    </w:div>
    <w:div w:id="8170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Zdravstvene nauke</dc:creator>
  <cp:keywords/>
  <dc:description/>
  <cp:lastModifiedBy>Lab. Patofiza</cp:lastModifiedBy>
  <cp:revision>2</cp:revision>
  <dcterms:created xsi:type="dcterms:W3CDTF">2024-10-04T10:20:00Z</dcterms:created>
  <dcterms:modified xsi:type="dcterms:W3CDTF">2024-10-04T10:20:00Z</dcterms:modified>
</cp:coreProperties>
</file>