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Koordinatnamreatabele"/>
        <w:tblW w:w="14572" w:type="dxa"/>
        <w:jc w:val="left"/>
        <w:tblInd w:w="0" w:type="dxa"/>
        <w:tblCellMar>
          <w:top w:w="0" w:type="dxa"/>
          <w:left w:w="8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98"/>
        <w:gridCol w:w="8714"/>
        <w:gridCol w:w="2960"/>
      </w:tblGrid>
      <w:tr>
        <w:trPr>
          <w:trHeight w:val="1814" w:hRule="atLeast"/>
        </w:trPr>
        <w:tc>
          <w:tcPr>
            <w:tcW w:w="2898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080135" cy="108013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sr-Latn"/>
              </w:rPr>
              <w:t>УНИВЕРЗИТЕТ У БАЊОЈ ЛУЦИ</w:t>
            </w:r>
          </w:p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МЕДИЦИНСКИ ФАКУЛТЕТ</w:t>
            </w:r>
          </w:p>
          <w:p>
            <w:pPr>
              <w:pStyle w:val="Normal"/>
              <w:spacing w:before="120" w:after="0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Катедра за сестринство</w:t>
            </w:r>
          </w:p>
          <w:p>
            <w:pPr>
              <w:pStyle w:val="Normal"/>
              <w:jc w:val="center"/>
              <w:rPr/>
            </w:pPr>
            <w:r>
              <w:rPr/>
              <w:drawing>
                <wp:anchor behindDoc="1" distT="0" distB="0" distL="114935" distR="114935" simplePos="0" locked="0" layoutInCell="1" allowOverlap="1" relativeHeight="2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-776605</wp:posOffset>
                  </wp:positionV>
                  <wp:extent cx="805180" cy="943610"/>
                  <wp:effectExtent l="0" t="0" r="0" b="0"/>
                  <wp:wrapNone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080135" cy="108013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Style w:val="Koordinatnamreatabele"/>
        <w:tblW w:w="14565" w:type="dxa"/>
        <w:jc w:val="left"/>
        <w:tblInd w:w="-8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81"/>
        <w:gridCol w:w="3309"/>
        <w:gridCol w:w="1755"/>
        <w:gridCol w:w="1811"/>
        <w:gridCol w:w="1280"/>
        <w:gridCol w:w="1280"/>
        <w:gridCol w:w="1279"/>
        <w:gridCol w:w="1280"/>
        <w:gridCol w:w="1290"/>
      </w:tblGrid>
      <w:tr>
        <w:trPr/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Школска година</w:t>
            </w:r>
          </w:p>
        </w:tc>
        <w:tc>
          <w:tcPr>
            <w:tcW w:w="330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Предмет</w:t>
            </w:r>
          </w:p>
        </w:tc>
        <w:tc>
          <w:tcPr>
            <w:tcW w:w="175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Шифра предмета</w:t>
            </w:r>
          </w:p>
        </w:tc>
        <w:tc>
          <w:tcPr>
            <w:tcW w:w="18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Студијски програм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Циклус студија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Година студија</w:t>
            </w:r>
          </w:p>
        </w:tc>
        <w:tc>
          <w:tcPr>
            <w:tcW w:w="127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Семестар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Број студената</w:t>
            </w:r>
          </w:p>
        </w:tc>
        <w:tc>
          <w:tcPr>
            <w:tcW w:w="129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Број група за вјежбе</w:t>
            </w:r>
          </w:p>
        </w:tc>
      </w:tr>
      <w:tr>
        <w:trPr/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202</w:t>
            </w:r>
            <w:r>
              <w:rPr>
                <w:lang w:val="sr-RS"/>
              </w:rPr>
              <w:t>5</w:t>
            </w:r>
            <w:r>
              <w:rPr>
                <w:lang w:val="sr-Latn"/>
              </w:rPr>
              <w:t>/202</w:t>
            </w:r>
            <w:r>
              <w:rPr>
                <w:lang w:val="sr-RS"/>
              </w:rPr>
              <w:t>6</w:t>
            </w:r>
            <w:r>
              <w:rPr>
                <w:lang w:val="sr-Latn"/>
              </w:rPr>
              <w:t>.</w:t>
            </w:r>
          </w:p>
        </w:tc>
        <w:tc>
          <w:tcPr>
            <w:tcW w:w="330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b/>
                <w:bCs/>
                <w:lang w:val="sr-Latn"/>
              </w:rPr>
              <w:t>Мултидисциплинарна здравствена њега</w:t>
            </w:r>
          </w:p>
        </w:tc>
        <w:tc>
          <w:tcPr>
            <w:tcW w:w="175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color w:val="000000"/>
                <w:sz w:val="20"/>
                <w:lang w:val="sr-Latn"/>
              </w:rPr>
              <w:t>ОС18МЗЊ</w:t>
            </w:r>
          </w:p>
        </w:tc>
        <w:tc>
          <w:tcPr>
            <w:tcW w:w="18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Сестринство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Први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Друга</w:t>
            </w:r>
          </w:p>
        </w:tc>
        <w:tc>
          <w:tcPr>
            <w:tcW w:w="127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III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sr-Latn-CS"/>
              </w:rPr>
              <w:t>1</w:t>
            </w:r>
            <w:r>
              <w:rPr>
                <w:color w:val="000000"/>
                <w:lang w:val="sr-RS"/>
              </w:rPr>
              <w:t>4</w:t>
            </w:r>
          </w:p>
        </w:tc>
        <w:tc>
          <w:tcPr>
            <w:tcW w:w="129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lang w:val="sr-Latn"/>
              </w:rPr>
            </w:pPr>
            <w:r>
              <w:rPr>
                <w:color w:val="000000"/>
                <w:lang w:val="sr-Latn"/>
              </w:rPr>
              <w:t>1</w:t>
            </w:r>
          </w:p>
        </w:tc>
      </w:tr>
    </w:tbl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sr-Latn"/>
        </w:rPr>
        <w:t>ПЛАН И РАСПОРЕД ПРЕДАВАЊА</w:t>
      </w:r>
    </w:p>
    <w:tbl>
      <w:tblPr>
        <w:tblStyle w:val="Koordinatnamreatabele"/>
        <w:tblW w:w="14560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365"/>
        <w:gridCol w:w="1411"/>
        <w:gridCol w:w="2606"/>
        <w:gridCol w:w="1308"/>
        <w:gridCol w:w="1398"/>
        <w:gridCol w:w="1617"/>
        <w:gridCol w:w="2197"/>
        <w:gridCol w:w="804"/>
        <w:gridCol w:w="1852"/>
      </w:tblGrid>
      <w:tr>
        <w:trPr/>
        <w:tc>
          <w:tcPr>
            <w:tcW w:w="136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Седмица</w:t>
            </w:r>
          </w:p>
        </w:tc>
        <w:tc>
          <w:tcPr>
            <w:tcW w:w="14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Предавање</w:t>
            </w:r>
          </w:p>
        </w:tc>
        <w:tc>
          <w:tcPr>
            <w:tcW w:w="260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Тематска јединица</w:t>
            </w:r>
          </w:p>
        </w:tc>
        <w:tc>
          <w:tcPr>
            <w:tcW w:w="130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Дан</w:t>
            </w:r>
          </w:p>
        </w:tc>
        <w:tc>
          <w:tcPr>
            <w:tcW w:w="139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Датум</w:t>
            </w:r>
          </w:p>
        </w:tc>
        <w:tc>
          <w:tcPr>
            <w:tcW w:w="161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Вријеме</w:t>
            </w:r>
          </w:p>
        </w:tc>
        <w:tc>
          <w:tcPr>
            <w:tcW w:w="219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Мјесто одржавања</w:t>
            </w:r>
          </w:p>
        </w:tc>
        <w:tc>
          <w:tcPr>
            <w:tcW w:w="80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Ч</w:t>
            </w:r>
          </w:p>
        </w:tc>
        <w:tc>
          <w:tcPr>
            <w:tcW w:w="185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Наставник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sr-RS"/>
              </w:rPr>
            </w:pPr>
            <w:r>
              <w:rPr>
                <w:lang w:val="sr-Latn"/>
              </w:rPr>
              <w:t xml:space="preserve">Интензивна здравствена њега </w:t>
            </w:r>
            <w:r>
              <w:rPr>
                <w:lang w:val="sr-RS"/>
              </w:rPr>
              <w:t xml:space="preserve">и </w:t>
            </w:r>
            <w:r>
              <w:rPr>
                <w:lang w:val="sr-Latn"/>
              </w:rPr>
              <w:t xml:space="preserve">терапија. 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06.10.2025</w:t>
            </w:r>
            <w:r>
              <w:rPr/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П2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 xml:space="preserve">Процјена ваздушног пута.                                                                                                                      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13.10.2025</w:t>
            </w:r>
            <w:r>
              <w:rPr>
                <w:lang w:val="sr-Latn"/>
              </w:rPr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П3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 xml:space="preserve">Вентилаторна потпора-одражавање вентилације.   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20.10.2025</w:t>
            </w:r>
            <w:r>
              <w:rPr>
                <w:lang w:val="sr-Latn"/>
              </w:rPr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IV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П4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sr-Latn"/>
              </w:rPr>
            </w:pPr>
            <w:r>
              <w:rPr>
                <w:lang w:val="sr-Latn"/>
              </w:rPr>
              <w:t xml:space="preserve">Процјена адекватности циркулације                                                                                                           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27.10.2025</w:t>
            </w:r>
            <w:r>
              <w:rPr>
                <w:lang w:val="sr-Latn"/>
              </w:rPr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П5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>Кардиоциркулаторни застој-мјере реанимације.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03.11.2025</w:t>
            </w:r>
            <w:r>
              <w:rPr>
                <w:lang w:val="sr-Latn"/>
              </w:rPr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П6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>Постреанимациона болест и мождана смрт.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10.11.2025</w:t>
            </w:r>
            <w:r>
              <w:rPr>
                <w:lang w:val="sr-Latn"/>
              </w:rPr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П7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>Интензивна здравствена њега болесника у стању шока.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17.11.2025</w:t>
            </w:r>
            <w:r>
              <w:rPr/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П8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болесника са респираторним поремећајима.                                                                                                                 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24.11.2025</w:t>
            </w:r>
            <w:r>
              <w:rPr>
                <w:lang w:val="sr-Latn"/>
              </w:rPr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IX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П9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>Интензивна здравствена њега болесника са акутним кардиолошким поремећајима.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01.12.2025</w:t>
            </w:r>
            <w:r>
              <w:rPr/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П10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акутно интоксицираних болесника.                                                                                 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08.12.2025</w:t>
            </w:r>
            <w:r>
              <w:rPr>
                <w:lang w:val="sr-Latn"/>
              </w:rPr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П11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трауматизованих.                                 </w:t>
            </w:r>
          </w:p>
        </w:tc>
        <w:tc>
          <w:tcPr>
            <w:tcW w:w="1308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Fonts w:cs="Times New Roman"/>
                <w:lang w:val="sr-Latn"/>
              </w:rPr>
              <w:t>Понедељак</w:t>
            </w:r>
          </w:p>
        </w:tc>
        <w:tc>
          <w:tcPr>
            <w:tcW w:w="1398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lang w:val="sr-RS"/>
              </w:rPr>
              <w:t>15.12.2025</w:t>
            </w:r>
            <w:r>
              <w:rPr>
                <w:rFonts w:cs="Times New Roman"/>
                <w:lang w:val="sr-Latn"/>
              </w:rPr>
              <w:t>.</w:t>
            </w:r>
          </w:p>
        </w:tc>
        <w:tc>
          <w:tcPr>
            <w:tcW w:w="1617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</w:r>
          </w:p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П12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опечених пацијената.                                                                                                                                            </w:t>
            </w:r>
          </w:p>
        </w:tc>
        <w:tc>
          <w:tcPr>
            <w:tcW w:w="1308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Понедељак</w:t>
            </w:r>
          </w:p>
        </w:tc>
        <w:tc>
          <w:tcPr>
            <w:tcW w:w="1398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17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vMerge w:val="continue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52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П13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Специфичности интензивне здравствене његе у педијатрији.            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22.12.2025</w:t>
            </w:r>
            <w:r>
              <w:rPr>
                <w:lang w:val="sr-Latn"/>
              </w:rPr>
              <w:t>.</w:t>
            </w:r>
            <w:r>
              <w:rPr/>
              <w:t xml:space="preserve"> 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XIV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П14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болесника након трансплантације органа.                                                                                                                    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>
                <w:lang w:val="sr-RS"/>
              </w:rPr>
              <w:t>29</w:t>
            </w:r>
            <w:r>
              <w:rPr/>
              <w:t>.12.202</w:t>
            </w:r>
            <w:r>
              <w:rPr>
                <w:lang w:val="sr-RS"/>
              </w:rPr>
              <w:t>5</w:t>
            </w:r>
            <w:r>
              <w:rPr/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36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XV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П15</w:t>
            </w:r>
          </w:p>
        </w:tc>
        <w:tc>
          <w:tcPr>
            <w:tcW w:w="26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>Рана рехабилитација у јединици интензивне његе</w:t>
            </w:r>
          </w:p>
        </w:tc>
        <w:tc>
          <w:tcPr>
            <w:tcW w:w="130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39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>
                <w:lang w:val="sr-RS"/>
              </w:rPr>
              <w:t>12.01.2026</w:t>
            </w:r>
            <w:r>
              <w:rPr/>
              <w:t>.</w:t>
            </w:r>
          </w:p>
        </w:tc>
        <w:tc>
          <w:tcPr>
            <w:tcW w:w="161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4</w:t>
            </w:r>
            <w:r>
              <w:rPr>
                <w:lang w:val="sr-Latn"/>
              </w:rPr>
              <w:t>5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80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>
                <w:lang w:val="sr-Latn"/>
              </w:rPr>
              <w:t>3</w:t>
            </w:r>
          </w:p>
        </w:tc>
        <w:tc>
          <w:tcPr>
            <w:tcW w:w="185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</w:tbl>
    <w:p>
      <w:pPr>
        <w:pStyle w:val="Normal"/>
        <w:spacing w:before="80" w:after="0"/>
        <w:rPr>
          <w:lang w:val="sr-Latn"/>
        </w:rPr>
      </w:pPr>
      <w:r>
        <w:rPr>
          <w:sz w:val="20"/>
          <w:szCs w:val="20"/>
          <w:lang w:val="sr-Latn"/>
        </w:rPr>
        <w:t>П1, П2, ...., П15 – Предавање прво, Предавање друго, ..., Предавање петнаесто, Ч – Часова</w:t>
      </w:r>
    </w:p>
    <w:p>
      <w:pPr>
        <w:pStyle w:val="Normal"/>
        <w:rPr/>
      </w:pPr>
      <w:r>
        <w:rPr/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lang w:val="sr-Latn"/>
        </w:rPr>
      </w:pPr>
      <w:r>
        <w:rPr>
          <w:rFonts w:cs="Times New Roman"/>
          <w:b/>
          <w:sz w:val="28"/>
          <w:szCs w:val="28"/>
        </w:rPr>
        <w:t>ПЛАН И РАСПОРЕД ВЈЕЖБИ</w:t>
      </w:r>
    </w:p>
    <w:tbl>
      <w:tblPr>
        <w:tblStyle w:val="TableGrid3"/>
        <w:tblpPr w:bottomFromText="0" w:horzAnchor="margin" w:leftFromText="180" w:rightFromText="180" w:tblpX="0" w:tblpXSpec="center" w:tblpY="388" w:topFromText="0" w:vertAnchor="text"/>
        <w:tblW w:w="14498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19"/>
        <w:gridCol w:w="1122"/>
        <w:gridCol w:w="980"/>
        <w:gridCol w:w="11276"/>
      </w:tblGrid>
      <w:tr>
        <w:trPr>
          <w:trHeight w:val="264" w:hRule="atLeast"/>
        </w:trPr>
        <w:tc>
          <w:tcPr>
            <w:tcW w:w="111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Седмица</w:t>
            </w:r>
          </w:p>
        </w:tc>
        <w:tc>
          <w:tcPr>
            <w:tcW w:w="112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Вјежба</w:t>
            </w:r>
          </w:p>
        </w:tc>
        <w:tc>
          <w:tcPr>
            <w:tcW w:w="9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Тип вјежбе</w:t>
            </w:r>
          </w:p>
        </w:tc>
        <w:tc>
          <w:tcPr>
            <w:tcW w:w="1127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Тематска јединица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lang w:val="sr-Latn"/>
              </w:rPr>
              <w:t>ТВ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Прехоспитални/хоспитални приступ критично обољелом/ повређеном. 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В2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Процена адекватности дисања. Препознавање знакова акутног недостатка ваздуха. Оксигенотерапија. Мониторинг: пулсна оксиметрија и процјена оксигенације. Интерпретација ГАК. Вјежбе на манекену.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В3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Процјена циркулаторног волумена и приступ пацијенту у шоку. Клинички параметри шока. Прехоспитална/хоспитална циркулаторна ресусцитација.  Мониторинг: клинички, апаративни , биохемијски. 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IV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В4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Препознавање електрокардиографских облика акутног застоја срца и малигних поремећаја ритма. Технике извођења електрошокова (кардиоверзија/дефибрилација). 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В5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Основне мјере пКПЦР. Сложене мјере пКПЦР. Вјежбе на манекену.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В6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Процјена проходности и протекције ваздушног пута. Технике контролисања ваздушног  пута: опште мјере, одржавање пролазности ваздушног пута, обезбјеђивање ваздушног пута. Вјежбе на манекену.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В7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Процјена адекватности циркулације. Периферна и централна венска линија. Интравенска  инфузиона техника. Вјежбе на манекену.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В8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Припрема медикамената. Путеви давања и технике. Вјежбе на манекену.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IX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В9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Основне мјере КПЦР. Алгоритам поступака. Вјежбе на манекену.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В10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Сложене мјере КПЦР. Алгоритам поступака. Вјежбе на манекену. 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В11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Пласирање уринарног катетера. </w:t>
            </w:r>
            <w:bookmarkStart w:id="0" w:name="_GoBack"/>
            <w:bookmarkEnd w:id="0"/>
            <w:r>
              <w:rPr/>
              <w:t>назогастричне сонде. Вјежбе на манекену.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В12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Основи фармакотерапије у потпори виталних функција.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XIII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В13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Вођење документације здравствене његе у јединицама интезивног лијечења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XIV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В14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Увјежбавање процедура здравствене његе.</w:t>
            </w:r>
          </w:p>
        </w:tc>
      </w:tr>
      <w:tr>
        <w:trPr>
          <w:trHeight w:val="264" w:hRule="atLeast"/>
        </w:trPr>
        <w:tc>
          <w:tcPr>
            <w:tcW w:w="111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XV</w:t>
            </w:r>
          </w:p>
        </w:tc>
        <w:tc>
          <w:tcPr>
            <w:tcW w:w="112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В15</w:t>
            </w:r>
          </w:p>
        </w:tc>
        <w:tc>
          <w:tcPr>
            <w:tcW w:w="9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76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Колоквирање преосталих вјештина.</w:t>
            </w:r>
          </w:p>
        </w:tc>
      </w:tr>
    </w:tbl>
    <w:p>
      <w:pPr>
        <w:pStyle w:val="NoSpacing"/>
        <w:rPr/>
      </w:pPr>
      <w:r>
        <w:rPr>
          <w:rFonts w:ascii="Times New Roman" w:hAnsi="Times New Roman"/>
        </w:rPr>
        <w:t>В1, В2, ...., В15 – Вјежба прва, Вјежба друга, ..., Вјежба петнаеста, ТВ – Теоријска вјежба,</w:t>
      </w:r>
      <w:r>
        <w:rPr>
          <w:rFonts w:ascii="Times New Roman" w:hAnsi="Times New Roman"/>
          <w:lang w:val="sr-Latn-BA"/>
        </w:rPr>
        <w:t xml:space="preserve"> </w:t>
      </w:r>
      <w:r>
        <w:rPr>
          <w:rFonts w:ascii="Times New Roman" w:hAnsi="Times New Roman"/>
        </w:rPr>
        <w:t>ПВ – Практична вјежба</w:t>
      </w:r>
    </w:p>
    <w:p>
      <w:pPr>
        <w:pStyle w:val="Normal"/>
        <w:spacing w:before="240" w:after="12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РАСПОРЕД ВЈЕЖБИ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tbl>
      <w:tblPr>
        <w:tblStyle w:val="TableGrid3"/>
        <w:tblW w:w="14572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11"/>
        <w:gridCol w:w="1361"/>
        <w:gridCol w:w="2693"/>
        <w:gridCol w:w="3605"/>
        <w:gridCol w:w="759"/>
        <w:gridCol w:w="4542"/>
      </w:tblGrid>
      <w:tr>
        <w:trPr/>
        <w:tc>
          <w:tcPr>
            <w:tcW w:w="16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Група</w:t>
            </w:r>
          </w:p>
        </w:tc>
        <w:tc>
          <w:tcPr>
            <w:tcW w:w="136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Дан</w:t>
            </w:r>
          </w:p>
        </w:tc>
        <w:tc>
          <w:tcPr>
            <w:tcW w:w="2693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Вријеме</w:t>
            </w:r>
          </w:p>
        </w:tc>
        <w:tc>
          <w:tcPr>
            <w:tcW w:w="360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Мјесто одржавања</w:t>
            </w:r>
          </w:p>
        </w:tc>
        <w:tc>
          <w:tcPr>
            <w:tcW w:w="75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Ч</w:t>
            </w:r>
          </w:p>
        </w:tc>
        <w:tc>
          <w:tcPr>
            <w:tcW w:w="454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lang w:val="sr-Latn-BA"/>
              </w:rPr>
            </w:pPr>
            <w:r>
              <w:rPr>
                <w:rFonts w:cs="Times New Roman"/>
                <w:b/>
                <w:lang w:val="sr-Latn-BA"/>
              </w:rPr>
              <w:t>Водитељ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прва</w:t>
            </w:r>
          </w:p>
        </w:tc>
        <w:tc>
          <w:tcPr>
            <w:tcW w:w="136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Петак</w:t>
            </w:r>
          </w:p>
        </w:tc>
        <w:tc>
          <w:tcPr>
            <w:tcW w:w="26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lang w:val="sr-RS"/>
              </w:rPr>
              <w:t>1</w:t>
            </w:r>
            <w:r>
              <w:rPr>
                <w:rFonts w:cs="Times New Roman"/>
                <w:lang w:val="sr-Latn-CS"/>
              </w:rPr>
              <w:t>6</w:t>
            </w:r>
            <w:r>
              <w:rPr>
                <w:rFonts w:cs="Times New Roman"/>
              </w:rPr>
              <w:t>:00-1</w:t>
            </w:r>
            <w:r>
              <w:rPr>
                <w:rFonts w:cs="Times New Roman"/>
                <w:lang w:val="sr-Latn-CS"/>
              </w:rPr>
              <w:t>9</w:t>
            </w:r>
            <w:r>
              <w:rPr>
                <w:rFonts w:cs="Times New Roman"/>
              </w:rPr>
              <w:t>:45</w:t>
            </w:r>
          </w:p>
        </w:tc>
        <w:tc>
          <w:tcPr>
            <w:tcW w:w="360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 клиничких вјештина</w:t>
            </w:r>
          </w:p>
        </w:tc>
        <w:tc>
          <w:tcPr>
            <w:tcW w:w="7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rFonts w:cs="Times New Roman"/>
              </w:rPr>
              <w:t>Зоран Нинић, стручни сарадник</w:t>
            </w:r>
          </w:p>
        </w:tc>
      </w:tr>
    </w:tbl>
    <w:p>
      <w:pPr>
        <w:pStyle w:val="Normal"/>
        <w:spacing w:before="240" w:after="0"/>
        <w:ind w:left="10800" w:firstLine="720"/>
        <w:jc w:val="right"/>
        <w:rPr/>
      </w:pPr>
      <w:r>
        <w:rPr>
          <w:b/>
          <w:lang w:val="sr-RS"/>
        </w:rPr>
        <w:t>Шеф катедре</w:t>
      </w:r>
      <w:r>
        <w:rPr>
          <w:b/>
          <w:lang w:val="sr-Latn"/>
        </w:rPr>
        <w:t>:</w:t>
      </w:r>
    </w:p>
    <w:p>
      <w:pPr>
        <w:pStyle w:val="Normal"/>
        <w:spacing w:before="120" w:after="0"/>
        <w:ind w:left="10800" w:hanging="0"/>
        <w:jc w:val="right"/>
        <w:rPr/>
      </w:pPr>
      <w:r>
        <w:rPr>
          <w:lang w:val="sr-Latn"/>
        </w:rPr>
        <w:t>Д</w:t>
      </w:r>
      <w:r>
        <w:rPr/>
        <w:t>оц. др Душка Јовић</w:t>
      </w:r>
    </w:p>
    <w:p>
      <w:pPr>
        <w:pStyle w:val="Normal"/>
        <w:spacing w:before="120" w:after="0"/>
        <w:ind w:left="10800" w:hanging="0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"/>
      <w:color w:val="00000A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TekstubaloniuChar" w:customStyle="1">
    <w:name w:val="Tekst u balončiću Char"/>
    <w:basedOn w:val="DefaultParagraphFont"/>
    <w:link w:val="Tekstubaloniu"/>
    <w:uiPriority w:val="99"/>
    <w:semiHidden/>
    <w:qFormat/>
    <w:rsid w:val="00f565b8"/>
    <w:rPr>
      <w:rFonts w:ascii="Tahoma" w:hAnsi="Tahoma" w:cs="Tahoma"/>
      <w:color w:val="00000A"/>
      <w:sz w:val="16"/>
      <w:szCs w:val="16"/>
    </w:rPr>
  </w:style>
  <w:style w:type="character" w:styleId="Oznakezanabrajanje" w:customStyle="1">
    <w:name w:val="Oznake za nabrajanje"/>
    <w:qFormat/>
    <w:rPr>
      <w:rFonts w:ascii="OpenSymbol" w:hAnsi="OpenSymbol" w:eastAsia="OpenSymbol" w:cs="Open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2z1" w:customStyle="1">
    <w:name w:val="WW8Num12z1"/>
    <w:qFormat/>
    <w:rPr>
      <w:rFonts w:ascii="OpenSymbol;Arial Unicode MS" w:hAnsi="OpenSymbol;Arial Unicode MS" w:cs="OpenSymbol;Arial Unicode M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Symbol"/>
      <w:b w:val="false"/>
    </w:rPr>
  </w:style>
  <w:style w:type="character" w:styleId="ListLabel5" w:customStyle="1">
    <w:name w:val="ListLabel 5"/>
    <w:qFormat/>
    <w:rPr>
      <w:rFonts w:cs="OpenSymbol;Arial Unicode MS"/>
      <w:b w:val="false"/>
    </w:rPr>
  </w:style>
  <w:style w:type="paragraph" w:styleId="Naslovljavanje" w:customStyle="1">
    <w:name w:val="Naslovljavanje"/>
    <w:basedOn w:val="Normal"/>
    <w:next w:val="T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ksta">
    <w:name w:val="Telo teksta"/>
    <w:basedOn w:val="Normal"/>
    <w:pPr>
      <w:spacing w:lineRule="auto" w:line="288" w:before="0" w:after="140"/>
    </w:pPr>
    <w:rPr/>
  </w:style>
  <w:style w:type="paragraph" w:styleId="Lista">
    <w:name w:val="Lista"/>
    <w:basedOn w:val="Teloteksta"/>
    <w:pPr/>
    <w:rPr>
      <w:rFonts w:cs="Mangal"/>
    </w:rPr>
  </w:style>
  <w:style w:type="paragraph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Teloteksta1" w:customStyle="1">
    <w:name w:val="Telo teksta1"/>
    <w:basedOn w:val="Normal"/>
    <w:qFormat/>
    <w:pPr>
      <w:spacing w:lineRule="auto" w:line="288" w:before="0" w:after="140"/>
    </w:pPr>
    <w:rPr/>
  </w:style>
  <w:style w:type="paragraph" w:styleId="Lista1" w:customStyle="1">
    <w:name w:val="Lista1"/>
    <w:basedOn w:val="Teloteksta1"/>
    <w:qFormat/>
    <w:pPr/>
    <w:rPr>
      <w:rFonts w:cs="Mangal"/>
    </w:rPr>
  </w:style>
  <w:style w:type="paragraph" w:styleId="Natpis1" w:customStyle="1">
    <w:name w:val="Natpis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5e0f98"/>
    <w:pPr>
      <w:spacing w:before="0" w:after="0"/>
      <w:ind w:left="720" w:hanging="0"/>
      <w:contextualSpacing/>
    </w:pPr>
    <w:rPr/>
  </w:style>
  <w:style w:type="paragraph" w:styleId="Sadrajtabele" w:customStyle="1">
    <w:name w:val="Sadržaj tabele"/>
    <w:basedOn w:val="Normal"/>
    <w:qFormat/>
    <w:pPr/>
    <w:rPr/>
  </w:style>
  <w:style w:type="paragraph" w:styleId="Zaglavljetabele" w:customStyle="1">
    <w:name w:val="Zaglavlje tabele"/>
    <w:basedOn w:val="Sadrajtabele"/>
    <w:qFormat/>
    <w:pPr/>
    <w:rPr/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f565b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zh-CN" w:bidi="ar-SA"/>
    </w:rPr>
  </w:style>
  <w:style w:type="paragraph" w:styleId="Bezrazmaka1" w:customStyle="1">
    <w:name w:val="Bez razmaka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</w:style>
  <w:style w:type="numbering" w:styleId="WW8Num7" w:customStyle="1">
    <w:name w:val="WW8Num7"/>
  </w:style>
  <w:style w:type="numbering" w:styleId="WW8Num9" w:customStyle="1">
    <w:name w:val="WW8Num9"/>
  </w:style>
  <w:style w:type="numbering" w:styleId="WW8Num5" w:customStyle="1">
    <w:name w:val="WW8Num5"/>
  </w:style>
  <w:style w:type="numbering" w:styleId="WW8Num6" w:customStyle="1">
    <w:name w:val="WW8Num6"/>
  </w:style>
  <w:style w:type="numbering" w:styleId="WW8Num2" w:customStyle="1">
    <w:name w:val="WW8Num2"/>
  </w:style>
  <w:style w:type="numbering" w:styleId="WW8Num10" w:customStyle="1">
    <w:name w:val="WW8Num10"/>
  </w:style>
  <w:style w:type="numbering" w:styleId="WW8Num3" w:customStyle="1">
    <w:name w:val="WW8Num3"/>
  </w:style>
  <w:style w:type="numbering" w:styleId="WW8Num12" w:customStyle="1">
    <w:name w:val="WW8Num12"/>
  </w:style>
  <w:style w:type="numbering" w:styleId="WW8Num4" w:customStyle="1">
    <w:name w:val="WW8Num4"/>
  </w:style>
  <w:style w:type="numbering" w:styleId="WW8Num1" w:customStyle="1">
    <w:name w:val="WW8Num1"/>
  </w:style>
  <w:style w:type="numbering" w:styleId="WW8Num8" w:customStyle="1">
    <w:name w:val="WW8Num8"/>
  </w:style>
  <w:style w:type="numbering" w:styleId="WW8Num11" w:customStyle="1">
    <w:name w:val="WW8Num11"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39"/>
    <w:rsid w:val="00cf54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Normalnatabela"/>
    <w:uiPriority w:val="39"/>
    <w:rsid w:val="00fc2a88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20FD-9623-4E31-9CA3-1F405712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LibreOffice/5.0.5.2$Windows_x86 LibreOffice_project/55b006a02d247b5f7215fc6ea0fde844b30035b3</Application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2022-10-26T10:32:00Z</dcterms:created>
  <dc:creator>Strain Posavljak</dc:creator>
  <dc:language>sr-Latn-CS</dc:language>
  <cp:lastPrinted>2025-10-14T10:34:04Z</cp:lastPrinted>
  <dcterms:modified xsi:type="dcterms:W3CDTF">2025-10-17T10:02:56Z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