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Koordinatnamreatabele"/>
        <w:tblW w:w="14572" w:type="dxa"/>
        <w:jc w:val="left"/>
        <w:tblInd w:w="0" w:type="dxa"/>
        <w:tblCellMar>
          <w:top w:w="0" w:type="dxa"/>
          <w:left w:w="10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98"/>
        <w:gridCol w:w="8714"/>
        <w:gridCol w:w="2960"/>
      </w:tblGrid>
      <w:tr>
        <w:trPr>
          <w:trHeight w:val="1814" w:hRule="atLeast"/>
        </w:trPr>
        <w:tc>
          <w:tcPr>
            <w:tcW w:w="2898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080135" cy="1080135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sr-Latn"/>
              </w:rPr>
              <w:t>УНИВЕРЗИТЕТ У БАЊОЈ ЛУЦИ</w:t>
            </w:r>
          </w:p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sz w:val="32"/>
                <w:szCs w:val="32"/>
                <w:lang w:val="sr-Latn"/>
              </w:rPr>
              <w:t>МЕДИЦИНСКИ ФАКУЛТЕТ</w:t>
            </w:r>
          </w:p>
          <w:p>
            <w:pPr>
              <w:pStyle w:val="Normal"/>
              <w:spacing w:before="120" w:after="0"/>
              <w:jc w:val="center"/>
              <w:rPr>
                <w:lang w:val="sr-Latn"/>
              </w:rPr>
            </w:pPr>
            <w:r>
              <w:rPr>
                <w:sz w:val="32"/>
                <w:szCs w:val="32"/>
                <w:lang w:val="sr-Latn"/>
              </w:rPr>
              <w:t>Катедра за сестринство</w:t>
            </w:r>
          </w:p>
          <w:p>
            <w:pPr>
              <w:pStyle w:val="Normal"/>
              <w:jc w:val="center"/>
              <w:rPr/>
            </w:pPr>
            <w:r>
              <w:rPr/>
              <w:drawing>
                <wp:anchor behindDoc="1" distT="0" distB="0" distL="114935" distR="114935" simplePos="0" locked="0" layoutInCell="1" allowOverlap="1" relativeHeight="2">
                  <wp:simplePos x="0" y="0"/>
                  <wp:positionH relativeFrom="column">
                    <wp:posOffset>6129020</wp:posOffset>
                  </wp:positionH>
                  <wp:positionV relativeFrom="paragraph">
                    <wp:posOffset>-776605</wp:posOffset>
                  </wp:positionV>
                  <wp:extent cx="805180" cy="943610"/>
                  <wp:effectExtent l="0" t="0" r="0" b="0"/>
                  <wp:wrapNone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33020</wp:posOffset>
                  </wp:positionV>
                  <wp:extent cx="1080135" cy="108013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Style w:val="Koordinatnamreatabele"/>
        <w:tblW w:w="14558" w:type="dxa"/>
        <w:jc w:val="left"/>
        <w:tblInd w:w="-105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81"/>
        <w:gridCol w:w="2399"/>
        <w:gridCol w:w="1600"/>
        <w:gridCol w:w="2876"/>
        <w:gridCol w:w="1280"/>
        <w:gridCol w:w="1280"/>
        <w:gridCol w:w="1279"/>
        <w:gridCol w:w="1280"/>
        <w:gridCol w:w="1281"/>
      </w:tblGrid>
      <w:tr>
        <w:trPr/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Школска година</w:t>
            </w:r>
          </w:p>
        </w:tc>
        <w:tc>
          <w:tcPr>
            <w:tcW w:w="239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Предмет</w:t>
            </w:r>
          </w:p>
        </w:tc>
        <w:tc>
          <w:tcPr>
            <w:tcW w:w="160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Шифра предмета</w:t>
            </w:r>
          </w:p>
        </w:tc>
        <w:tc>
          <w:tcPr>
            <w:tcW w:w="2876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Студијски програм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Циклус студија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Година студија</w:t>
            </w:r>
          </w:p>
        </w:tc>
        <w:tc>
          <w:tcPr>
            <w:tcW w:w="127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Семестар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Број студената</w:t>
            </w:r>
          </w:p>
        </w:tc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>
        <w:trPr/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20</w:t>
            </w:r>
            <w:r>
              <w:rPr/>
              <w:t>2</w:t>
            </w:r>
            <w:r>
              <w:rPr>
                <w:lang w:val="sr-RS"/>
              </w:rPr>
              <w:t>5</w:t>
            </w:r>
            <w:r>
              <w:rPr>
                <w:lang w:val="sr-Latn"/>
              </w:rPr>
              <w:t>/20</w:t>
            </w:r>
            <w:r>
              <w:rPr/>
              <w:t>2</w:t>
            </w:r>
            <w:r>
              <w:rPr>
                <w:lang w:val="sr-RS"/>
              </w:rPr>
              <w:t>6</w:t>
            </w:r>
            <w:r>
              <w:rPr>
                <w:lang w:val="sr-Latn"/>
              </w:rPr>
              <w:t>.</w:t>
            </w:r>
          </w:p>
        </w:tc>
        <w:tc>
          <w:tcPr>
            <w:tcW w:w="239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  <w:bCs/>
              </w:rPr>
            </w:pPr>
            <w:r>
              <w:rPr>
                <w:b/>
                <w:bCs/>
                <w:lang w:val="sr-Latn"/>
              </w:rPr>
              <w:t>Увод у здравствену његу</w:t>
            </w:r>
          </w:p>
          <w:p>
            <w:pPr>
              <w:pStyle w:val="Normal"/>
              <w:ind w:left="57" w:right="57" w:hanging="0"/>
              <w:rPr>
                <w:b/>
                <w:b/>
                <w:bCs/>
              </w:rPr>
            </w:pPr>
            <w:r>
              <w:rPr>
                <w:b/>
                <w:bCs/>
                <w:lang w:val="sr-Latn"/>
              </w:rPr>
              <w:t xml:space="preserve">- </w:t>
            </w:r>
            <w:r>
              <w:rPr>
                <w:sz w:val="20"/>
                <w:szCs w:val="20"/>
                <w:lang w:val="sr-Latn"/>
              </w:rPr>
              <w:t>сестрински процеси и докумнтација</w:t>
            </w:r>
          </w:p>
          <w:p>
            <w:pPr>
              <w:pStyle w:val="Normal"/>
              <w:ind w:left="57" w:right="57" w:hanging="0"/>
              <w:rPr>
                <w:b/>
                <w:b/>
                <w:bCs/>
                <w:sz w:val="22"/>
              </w:rPr>
            </w:pPr>
            <w:r>
              <w:rPr>
                <w:sz w:val="20"/>
                <w:szCs w:val="20"/>
                <w:lang w:val="sr-Latn"/>
              </w:rPr>
              <w:t>- сестр. теорије и концепти и наука у сестринству</w:t>
            </w:r>
          </w:p>
        </w:tc>
        <w:tc>
          <w:tcPr>
            <w:tcW w:w="16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color w:val="000000"/>
                <w:szCs w:val="24"/>
                <w:lang w:val="sr-Latn"/>
              </w:rPr>
              <w:t>ОС18УЗЊ</w:t>
            </w:r>
          </w:p>
        </w:tc>
        <w:tc>
          <w:tcPr>
            <w:tcW w:w="287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/>
            </w:pPr>
            <w:r>
              <w:rPr/>
              <w:t>Сестринство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Први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Прва</w:t>
            </w:r>
          </w:p>
        </w:tc>
        <w:tc>
          <w:tcPr>
            <w:tcW w:w="127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sr-RS"/>
              </w:rPr>
              <w:t>5</w:t>
            </w:r>
          </w:p>
        </w:tc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sr-Latn"/>
        </w:rPr>
        <w:t>ПЛАН И РАСПОРЕД ПРЕДАВАЊА</w:t>
      </w:r>
    </w:p>
    <w:tbl>
      <w:tblPr>
        <w:tblStyle w:val="Koordinatnamreatabele"/>
        <w:tblW w:w="14518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120"/>
        <w:gridCol w:w="1410"/>
        <w:gridCol w:w="3118"/>
        <w:gridCol w:w="982"/>
        <w:gridCol w:w="1845"/>
        <w:gridCol w:w="1532"/>
        <w:gridCol w:w="1589"/>
        <w:gridCol w:w="378"/>
        <w:gridCol w:w="2542"/>
      </w:tblGrid>
      <w:tr>
        <w:trPr/>
        <w:tc>
          <w:tcPr>
            <w:tcW w:w="112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Седмица</w:t>
            </w:r>
          </w:p>
        </w:tc>
        <w:tc>
          <w:tcPr>
            <w:tcW w:w="141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Предавање</w:t>
            </w:r>
          </w:p>
        </w:tc>
        <w:tc>
          <w:tcPr>
            <w:tcW w:w="311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Тематска јединица</w:t>
            </w:r>
          </w:p>
        </w:tc>
        <w:tc>
          <w:tcPr>
            <w:tcW w:w="98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Дан</w:t>
            </w:r>
          </w:p>
        </w:tc>
        <w:tc>
          <w:tcPr>
            <w:tcW w:w="1845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Датум</w:t>
            </w:r>
          </w:p>
        </w:tc>
        <w:tc>
          <w:tcPr>
            <w:tcW w:w="153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Вријеме</w:t>
            </w:r>
          </w:p>
        </w:tc>
        <w:tc>
          <w:tcPr>
            <w:tcW w:w="158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Мјесто одржавања</w:t>
            </w:r>
          </w:p>
        </w:tc>
        <w:tc>
          <w:tcPr>
            <w:tcW w:w="37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Ч</w:t>
            </w:r>
          </w:p>
        </w:tc>
        <w:tc>
          <w:tcPr>
            <w:tcW w:w="254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Наставник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Уводна предавања. 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03.10.2025.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 xml:space="preserve">Гинекологија 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II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П2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>
                <w:lang w:val="sr-Latn"/>
              </w:rPr>
              <w:t>Основни појмови у медицини и здравственој њези.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10.10.2025.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III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П3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>
                <w:lang w:val="sr-Latn"/>
              </w:rPr>
              <w:t>Дефиниција здравствене његе; Здравствена њега као наука и савремено сестринство.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17.10.2025.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IV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П4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>
                <w:lang w:val="sr-Latn"/>
              </w:rPr>
              <w:t>Документација здравствене његе.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24.10.2025.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П5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>
                <w:lang w:val="sr-Latn"/>
              </w:rPr>
              <w:t>Теоријски модели у сестринству.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31.10.2025.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П6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>
                <w:lang w:val="sr-Latn"/>
              </w:rPr>
              <w:t>Принципи и методе здравствене његе.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07.11.2025.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VII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П7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>
                <w:lang w:val="sr-Latn"/>
              </w:rPr>
              <w:t>Врсте здравствене његе.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14.11.2025.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VIII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П8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lang w:val="sr-Latn"/>
              </w:rPr>
              <w:t>Процес здравствене његе:утврђивање потреба за његом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21.11.2025.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lang w:val="sr-RS"/>
              </w:rPr>
              <w:t>нерадни дан, надокнада према договору)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IX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П9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С</w:t>
            </w:r>
            <w:r>
              <w:rPr>
                <w:lang w:val="sr-Latn"/>
              </w:rPr>
              <w:t xml:space="preserve">естринска дијагноза, планирање здравствене његе и реализација плана, евалуација здравствене његе. 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28.11.2025.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П10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lang w:val="sr-Latn"/>
              </w:rPr>
              <w:t>Систем организације пружања здравстве његе и тимски рад.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05.12.2025.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П11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Основне процедуре у здравственој њези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12.12.2025.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XII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П12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lang w:val="sr-Latn"/>
              </w:rPr>
              <w:t>Сестринске функције и компентенције.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19.12.2025.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XIII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П13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lang w:val="sr-Latn"/>
              </w:rPr>
              <w:t>Образовање и стручно усавршавање медицинских сестара-техничара.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26.12.2025.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XIV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П14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lang w:val="sr-Latn"/>
              </w:rPr>
              <w:t>Здравствена њега у прмиарној здравственој заштити.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09.01.2026.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lang w:val="sr-RS"/>
              </w:rPr>
              <w:t>нерадни дан, надокнада према договору)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XV</w:t>
            </w:r>
          </w:p>
        </w:tc>
        <w:tc>
          <w:tcPr>
            <w:tcW w:w="1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П15</w:t>
            </w:r>
          </w:p>
        </w:tc>
        <w:tc>
          <w:tcPr>
            <w:tcW w:w="311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lang w:val="sr-Latn"/>
              </w:rPr>
              <w:t>Здравствена њега у ванредним условима.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 xml:space="preserve">Петак </w:t>
            </w:r>
          </w:p>
        </w:tc>
        <w:tc>
          <w:tcPr>
            <w:tcW w:w="184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16.01.2026.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sr-Latn"/>
              </w:rPr>
              <w:t xml:space="preserve">АМФ </w:t>
            </w:r>
            <w:r>
              <w:rPr/>
              <w:t>Гинекологија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2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</w:tbl>
    <w:p>
      <w:pPr>
        <w:pStyle w:val="Normal"/>
        <w:spacing w:before="80" w:after="0"/>
        <w:rPr>
          <w:sz w:val="20"/>
          <w:szCs w:val="20"/>
        </w:rPr>
      </w:pPr>
      <w:r>
        <w:rPr>
          <w:sz w:val="20"/>
          <w:szCs w:val="20"/>
          <w:lang w:val="sr-Latn"/>
        </w:rPr>
        <w:t xml:space="preserve">П1, П2, ...., П15 – Предавање прво, Предавање друго, ..., Предавање петнаесто, Ч – Часова, </w:t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sr-Latn"/>
        </w:rPr>
      </w:pPr>
      <w:r>
        <w:rPr>
          <w:b/>
          <w:sz w:val="28"/>
          <w:szCs w:val="28"/>
          <w:lang w:val="sr-Latn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sr-Latn"/>
        </w:rPr>
      </w:pPr>
      <w:r>
        <w:rPr>
          <w:b/>
          <w:sz w:val="28"/>
          <w:szCs w:val="28"/>
          <w:lang w:val="sr-Latn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sr-Latn"/>
        </w:rPr>
      </w:pPr>
      <w:r>
        <w:rPr>
          <w:b/>
          <w:sz w:val="28"/>
          <w:szCs w:val="28"/>
          <w:lang w:val="sr-Latn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sr-Latn"/>
        </w:rPr>
      </w:pPr>
      <w:r>
        <w:rPr>
          <w:b/>
          <w:sz w:val="28"/>
          <w:szCs w:val="28"/>
          <w:lang w:val="sr-Latn"/>
        </w:rPr>
        <w:t>ПЛАН И РАСПОРЕД ВЈЕЖБИ</w:t>
      </w:r>
    </w:p>
    <w:tbl>
      <w:tblPr>
        <w:tblStyle w:val="TableGrid3"/>
        <w:tblpPr w:bottomFromText="0" w:horzAnchor="margin" w:leftFromText="180" w:rightFromText="180" w:tblpX="0" w:tblpXSpec="center" w:tblpY="388" w:topFromText="0" w:vertAnchor="text"/>
        <w:tblW w:w="14635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128"/>
        <w:gridCol w:w="1134"/>
        <w:gridCol w:w="994"/>
        <w:gridCol w:w="11378"/>
      </w:tblGrid>
      <w:tr>
        <w:trPr>
          <w:trHeight w:val="562" w:hRule="atLeast"/>
        </w:trPr>
        <w:tc>
          <w:tcPr>
            <w:tcW w:w="112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Седмица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Вјежба</w:t>
            </w:r>
          </w:p>
        </w:tc>
        <w:tc>
          <w:tcPr>
            <w:tcW w:w="99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Тип вјежбе</w:t>
            </w:r>
          </w:p>
        </w:tc>
        <w:tc>
          <w:tcPr>
            <w:tcW w:w="1137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Тематска јединица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lang w:val="sr-Latn"/>
              </w:rPr>
              <w:t>ТВ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Уводне вјежбе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В2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Мјерење виталних функција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В3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Посмтрање болесника, објектибни знаци и симптоми болести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В4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Основне мјере одржавања живота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В5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Основи добре праксе и контроле инфекције, мјере заштите од инфекције</w:t>
            </w:r>
          </w:p>
        </w:tc>
      </w:tr>
      <w:tr>
        <w:trPr>
          <w:trHeight w:val="331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В6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Скале за процјену бола; декубитус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В7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Лијекови:врсте лијекова и путеви уношења у организам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В8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Основни проблеми болесног човјека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IX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В9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Узорковање биолошког материјала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В10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Принципи исхране болесника</w:t>
            </w:r>
          </w:p>
        </w:tc>
      </w:tr>
      <w:tr>
        <w:trPr>
          <w:trHeight w:val="322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В11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Унутрашња организација болничке средине, Aнализа радног процеса на болничком одјељењу, Документација код пријема болесника</w:t>
            </w:r>
          </w:p>
        </w:tc>
      </w:tr>
      <w:tr>
        <w:trPr>
          <w:trHeight w:val="345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В12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Здравствена њега код појединих обољења</w:t>
            </w:r>
          </w:p>
        </w:tc>
      </w:tr>
      <w:tr>
        <w:trPr>
          <w:trHeight w:val="345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В13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Планирање здравствене његе; Документација здравствене његе – презентација плана здравствене његе</w:t>
            </w:r>
          </w:p>
        </w:tc>
      </w:tr>
      <w:tr>
        <w:trPr>
          <w:trHeight w:val="330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В14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Увјежбавање основних медицинско техничких процедура у здравственој њези</w:t>
            </w:r>
          </w:p>
        </w:tc>
      </w:tr>
      <w:tr>
        <w:trPr>
          <w:trHeight w:val="425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В15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sr-RS"/>
              </w:rPr>
            </w:pPr>
            <w:r>
              <w:rPr/>
              <w:t>Kолоквирање преосталих вјештина</w:t>
            </w:r>
            <w:r>
              <w:rPr>
                <w:lang w:val="sr-RS"/>
              </w:rPr>
              <w:t xml:space="preserve"> – Практични колоквијум</w:t>
            </w:r>
          </w:p>
        </w:tc>
      </w:tr>
    </w:tbl>
    <w:p>
      <w:pPr>
        <w:pStyle w:val="Normal"/>
        <w:spacing w:before="80" w:after="0"/>
        <w:rPr>
          <w:lang w:val="sr-Latn"/>
        </w:rPr>
      </w:pPr>
      <w:r>
        <w:rPr>
          <w:sz w:val="20"/>
          <w:szCs w:val="20"/>
          <w:lang w:val="sr-Latn"/>
        </w:rPr>
        <w:t xml:space="preserve">В1, В2, ...., В15 – Вјежба прва, Вјежба друга, ..., Вјежба петнаеста, ТВ – Теоријска вјежба, ПВ – Практична вјежба, Ч – Часова, </w:t>
      </w:r>
      <w:r>
        <w:rPr>
          <w:sz w:val="20"/>
          <w:szCs w:val="20"/>
        </w:rPr>
        <w:t>УКЦ – Универзитетско клинички центар</w:t>
      </w:r>
    </w:p>
    <w:p>
      <w:pPr>
        <w:pStyle w:val="Normal"/>
        <w:spacing w:before="240" w:after="12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РАСПОРЕД ВЈЕЖБИ</w:t>
      </w:r>
    </w:p>
    <w:p>
      <w:pPr>
        <w:pStyle w:val="Normal"/>
        <w:spacing w:before="80" w:after="0"/>
        <w:rPr/>
      </w:pPr>
      <w:r>
        <w:rPr/>
      </w:r>
    </w:p>
    <w:tbl>
      <w:tblPr>
        <w:tblStyle w:val="TableGrid3"/>
        <w:tblW w:w="14572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11"/>
        <w:gridCol w:w="1570"/>
        <w:gridCol w:w="2835"/>
        <w:gridCol w:w="3254"/>
        <w:gridCol w:w="759"/>
        <w:gridCol w:w="4542"/>
      </w:tblGrid>
      <w:tr>
        <w:trPr/>
        <w:tc>
          <w:tcPr>
            <w:tcW w:w="161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Група</w:t>
            </w:r>
          </w:p>
        </w:tc>
        <w:tc>
          <w:tcPr>
            <w:tcW w:w="157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Дан</w:t>
            </w:r>
          </w:p>
        </w:tc>
        <w:tc>
          <w:tcPr>
            <w:tcW w:w="2835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Вријеме</w:t>
            </w:r>
          </w:p>
        </w:tc>
        <w:tc>
          <w:tcPr>
            <w:tcW w:w="325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Мјесто одржавања</w:t>
            </w:r>
          </w:p>
        </w:tc>
        <w:tc>
          <w:tcPr>
            <w:tcW w:w="75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Ч</w:t>
            </w:r>
          </w:p>
        </w:tc>
        <w:tc>
          <w:tcPr>
            <w:tcW w:w="454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lang w:val="sr-Latn-BA"/>
              </w:rPr>
            </w:pPr>
            <w:r>
              <w:rPr>
                <w:rFonts w:cs="Times New Roman"/>
                <w:b/>
                <w:lang w:val="sr-Latn-BA"/>
              </w:rPr>
              <w:t>Водитељ</w:t>
            </w:r>
          </w:p>
        </w:tc>
      </w:tr>
      <w:tr>
        <w:trPr/>
        <w:tc>
          <w:tcPr>
            <w:tcW w:w="16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прва</w:t>
            </w:r>
          </w:p>
        </w:tc>
        <w:tc>
          <w:tcPr>
            <w:tcW w:w="157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sr-RS"/>
              </w:rPr>
            </w:pPr>
            <w:r>
              <w:rPr>
                <w:rFonts w:cs="Times New Roman"/>
                <w:lang w:val="sr-RS"/>
              </w:rPr>
              <w:t>Понедељак</w:t>
            </w:r>
          </w:p>
        </w:tc>
        <w:tc>
          <w:tcPr>
            <w:tcW w:w="283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sr-RS"/>
              </w:rPr>
              <w:t>5</w:t>
            </w:r>
            <w:r>
              <w:rPr>
                <w:rFonts w:cs="Times New Roman"/>
              </w:rPr>
              <w:t>:00 – 1</w:t>
            </w:r>
            <w:r>
              <w:rPr>
                <w:rFonts w:cs="Times New Roman"/>
                <w:lang w:val="sr-RS"/>
              </w:rPr>
              <w:t>9</w:t>
            </w:r>
            <w:r>
              <w:rPr>
                <w:rFonts w:cs="Times New Roman"/>
              </w:rPr>
              <w:t>:30</w:t>
            </w:r>
          </w:p>
        </w:tc>
        <w:tc>
          <w:tcPr>
            <w:tcW w:w="325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</w:rPr>
              <w:t xml:space="preserve">Кабинет клиничких вјештина </w:t>
            </w:r>
          </w:p>
        </w:tc>
        <w:tc>
          <w:tcPr>
            <w:tcW w:w="7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</w:t>
            </w:r>
            <w:r>
              <w:rPr>
                <w:lang w:val="sr-Latn"/>
              </w:rPr>
              <w:t xml:space="preserve">р </w:t>
            </w:r>
            <w:r>
              <w:rPr/>
              <w:t xml:space="preserve">сци. </w:t>
            </w:r>
            <w:r>
              <w:rPr>
                <w:lang w:val="sr-Latn"/>
              </w:rPr>
              <w:t xml:space="preserve">Душка Јовић, </w:t>
            </w:r>
            <w:r>
              <w:rPr/>
              <w:t xml:space="preserve">доцент; </w:t>
            </w:r>
            <w:r>
              <w:rPr>
                <w:lang w:val="sr-RS"/>
              </w:rPr>
              <w:t>Синиша Каракаш</w:t>
            </w:r>
            <w:r>
              <w:rPr/>
              <w:t>, стручни сарадник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240" w:after="0"/>
        <w:ind w:left="10800" w:firstLine="720"/>
        <w:jc w:val="right"/>
        <w:rPr/>
      </w:pPr>
      <w:r>
        <w:rPr>
          <w:b/>
          <w:lang w:val="sr-RS"/>
        </w:rPr>
        <w:t>Шеф Катедре</w:t>
      </w:r>
      <w:r>
        <w:rPr>
          <w:b/>
        </w:rPr>
        <w:t>:</w:t>
      </w:r>
    </w:p>
    <w:p>
      <w:pPr>
        <w:pStyle w:val="Normal"/>
        <w:spacing w:before="120" w:after="0"/>
        <w:ind w:left="10800" w:hanging="0"/>
        <w:jc w:val="right"/>
        <w:rPr/>
      </w:pPr>
      <w:r>
        <w:rPr/>
        <w:t>Доц. др Душка Јовић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1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Calibri" w:cs=""/>
      <w:color w:val="00000A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TekstubaloniuChar" w:customStyle="1">
    <w:name w:val="Tekst u balončiću Char"/>
    <w:basedOn w:val="DefaultParagraphFont"/>
    <w:link w:val="Tekstubaloniu"/>
    <w:uiPriority w:val="99"/>
    <w:semiHidden/>
    <w:qFormat/>
    <w:rsid w:val="00f565b8"/>
    <w:rPr>
      <w:rFonts w:ascii="Tahoma" w:hAnsi="Tahoma" w:cs="Tahoma"/>
      <w:color w:val="00000A"/>
      <w:sz w:val="16"/>
      <w:szCs w:val="16"/>
    </w:rPr>
  </w:style>
  <w:style w:type="character" w:styleId="Oznakezanabrajanje" w:customStyle="1">
    <w:name w:val="Oznake za nabrajanje"/>
    <w:qFormat/>
    <w:rPr>
      <w:rFonts w:ascii="OpenSymbol" w:hAnsi="OpenSymbol" w:eastAsia="OpenSymbol" w:cs="Open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OpenSymbol;Arial Unicode MS"/>
    </w:rPr>
  </w:style>
  <w:style w:type="character" w:styleId="WW8Num12z1" w:customStyle="1">
    <w:name w:val="WW8Num12z1"/>
    <w:qFormat/>
    <w:rPr>
      <w:rFonts w:ascii="OpenSymbol;Arial Unicode MS" w:hAnsi="OpenSymbol;Arial Unicode MS" w:cs="OpenSymbol;Arial Unicode M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Symbol"/>
      <w:b w:val="false"/>
    </w:rPr>
  </w:style>
  <w:style w:type="character" w:styleId="ListLabel5" w:customStyle="1">
    <w:name w:val="ListLabel 5"/>
    <w:qFormat/>
    <w:rPr>
      <w:rFonts w:cs="OpenSymbol;Arial Unicode MS"/>
      <w:b w:val="false"/>
    </w:rPr>
  </w:style>
  <w:style w:type="paragraph" w:styleId="Naslovljavanje" w:customStyle="1">
    <w:name w:val="Naslovljavanje"/>
    <w:basedOn w:val="Normal"/>
    <w:next w:val="T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ksta">
    <w:name w:val="Telo teksta"/>
    <w:basedOn w:val="Normal"/>
    <w:pPr>
      <w:spacing w:lineRule="auto" w:line="288" w:before="0" w:after="140"/>
    </w:pPr>
    <w:rPr/>
  </w:style>
  <w:style w:type="paragraph" w:styleId="Lista">
    <w:name w:val="Lista"/>
    <w:basedOn w:val="Teloteksta"/>
    <w:pPr/>
    <w:rPr>
      <w:rFonts w:cs="Mangal"/>
    </w:rPr>
  </w:style>
  <w:style w:type="paragraph" w:styleId="Natpis">
    <w:name w:val="Nat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Teloteksta1" w:customStyle="1">
    <w:name w:val="Telo teksta1"/>
    <w:basedOn w:val="Normal"/>
    <w:qFormat/>
    <w:pPr>
      <w:spacing w:lineRule="auto" w:line="288" w:before="0" w:after="140"/>
    </w:pPr>
    <w:rPr/>
  </w:style>
  <w:style w:type="paragraph" w:styleId="Lista1" w:customStyle="1">
    <w:name w:val="Lista1"/>
    <w:basedOn w:val="Teloteksta1"/>
    <w:qFormat/>
    <w:pPr/>
    <w:rPr>
      <w:rFonts w:cs="Mangal"/>
    </w:rPr>
  </w:style>
  <w:style w:type="paragraph" w:styleId="Natpis1" w:customStyle="1">
    <w:name w:val="Natpis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5e0f98"/>
    <w:pPr>
      <w:spacing w:before="0" w:after="0"/>
      <w:ind w:left="720" w:hanging="0"/>
      <w:contextualSpacing/>
    </w:pPr>
    <w:rPr/>
  </w:style>
  <w:style w:type="paragraph" w:styleId="Sadrajtabele" w:customStyle="1">
    <w:name w:val="Sadržaj tabele"/>
    <w:basedOn w:val="Normal"/>
    <w:qFormat/>
    <w:pPr/>
    <w:rPr/>
  </w:style>
  <w:style w:type="paragraph" w:styleId="Zaglavljetabele" w:customStyle="1">
    <w:name w:val="Zaglavlje tabele"/>
    <w:basedOn w:val="Sadrajtabele"/>
    <w:qFormat/>
    <w:pPr/>
    <w:rPr/>
  </w:style>
  <w:style w:type="paragraph" w:styleId="BalloonText">
    <w:name w:val="Balloon Text"/>
    <w:basedOn w:val="Normal"/>
    <w:link w:val="TekstubaloniuChar"/>
    <w:uiPriority w:val="99"/>
    <w:semiHidden/>
    <w:unhideWhenUsed/>
    <w:qFormat/>
    <w:rsid w:val="00f565b8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zh-CN" w:bidi="ar-SA"/>
    </w:rPr>
  </w:style>
  <w:style w:type="paragraph" w:styleId="Bezrazmaka1" w:customStyle="1">
    <w:name w:val="Bez razmaka1"/>
    <w:qFormat/>
    <w:rsid w:val="00b74544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</w:style>
  <w:style w:type="numbering" w:styleId="WW8Num7" w:customStyle="1">
    <w:name w:val="WW8Num7"/>
  </w:style>
  <w:style w:type="numbering" w:styleId="WW8Num9" w:customStyle="1">
    <w:name w:val="WW8Num9"/>
  </w:style>
  <w:style w:type="numbering" w:styleId="WW8Num5" w:customStyle="1">
    <w:name w:val="WW8Num5"/>
  </w:style>
  <w:style w:type="numbering" w:styleId="WW8Num6" w:customStyle="1">
    <w:name w:val="WW8Num6"/>
  </w:style>
  <w:style w:type="numbering" w:styleId="WW8Num2" w:customStyle="1">
    <w:name w:val="WW8Num2"/>
  </w:style>
  <w:style w:type="numbering" w:styleId="WW8Num10" w:customStyle="1">
    <w:name w:val="WW8Num10"/>
  </w:style>
  <w:style w:type="numbering" w:styleId="WW8Num3" w:customStyle="1">
    <w:name w:val="WW8Num3"/>
  </w:style>
  <w:style w:type="numbering" w:styleId="WW8Num12" w:customStyle="1">
    <w:name w:val="WW8Num12"/>
  </w:style>
  <w:style w:type="numbering" w:styleId="WW8Num4" w:customStyle="1">
    <w:name w:val="WW8Num4"/>
  </w:style>
  <w:style w:type="numbering" w:styleId="WW8Num1" w:customStyle="1">
    <w:name w:val="WW8Num1"/>
  </w:style>
  <w:style w:type="numbering" w:styleId="WW8Num8" w:customStyle="1">
    <w:name w:val="WW8Num8"/>
  </w:style>
  <w:style w:type="numbering" w:styleId="WW8Num11" w:customStyle="1">
    <w:name w:val="WW8Num11"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ordinatnamreatabele">
    <w:name w:val="Table Grid"/>
    <w:basedOn w:val="Normalnatabela"/>
    <w:uiPriority w:val="39"/>
    <w:rsid w:val="00cf54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">
    <w:name w:val="Table Grid3"/>
    <w:basedOn w:val="Normalnatabela"/>
    <w:uiPriority w:val="39"/>
    <w:rsid w:val="00b74544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8576-28F0-4F25-A6E7-3B7DD4B5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LibreOffice/5.0.5.2$Windows_x86 LibreOffice_project/55b006a02d247b5f7215fc6ea0fde844b30035b3</Application>
  <Paragraphs>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2021-11-01T08:23:00Z</dcterms:created>
  <dc:creator>Strain Posavljak</dc:creator>
  <dc:language>sr-Latn-CS</dc:language>
  <cp:lastPrinted>2018-10-08T11:42:00Z</cp:lastPrinted>
  <dcterms:modified xsi:type="dcterms:W3CDTF">2025-10-17T09:58:25Z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