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5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" w:type="dxa"/>
          <w:bottom w:w="0" w:type="dxa"/>
          <w:right w:w="0" w:type="dxa"/>
        </w:tblCellMar>
      </w:tblPr>
      <w:tblGrid>
        <w:gridCol w:w="2898"/>
        <w:gridCol w:w="8714"/>
        <w:gridCol w:w="2960"/>
      </w:tblGrid>
      <w:tr w14:paraId="62304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0" w:type="dxa"/>
          </w:tblCellMar>
        </w:tblPrEx>
        <w:trPr>
          <w:trHeight w:val="1814" w:hRule="atLeast"/>
        </w:trPr>
        <w:tc>
          <w:tcPr>
            <w:tcW w:w="2898" w:type="dxa"/>
            <w:tcBorders>
              <w:top w:val="nil"/>
              <w:left w:val="nil"/>
              <w:right w:val="nil"/>
              <w:insideV w:val="nil"/>
            </w:tcBorders>
            <w:shd w:val="clear" w:color="auto" w:fill="auto"/>
            <w:vAlign w:val="center"/>
          </w:tcPr>
          <w:p w14:paraId="0D0058EB">
            <w:pPr>
              <w:jc w:val="center"/>
              <w:rPr>
                <w:lang w:val="zh-CN"/>
              </w:rPr>
            </w:pPr>
            <w:r>
              <w:drawing>
                <wp:inline distT="0" distB="0" distL="0" distR="0">
                  <wp:extent cx="1080135" cy="108013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4" w:type="dxa"/>
            <w:tcBorders>
              <w:top w:val="nil"/>
              <w:left w:val="nil"/>
              <w:right w:val="nil"/>
              <w:insideV w:val="nil"/>
            </w:tcBorders>
            <w:shd w:val="clear" w:color="auto" w:fill="auto"/>
            <w:vAlign w:val="center"/>
          </w:tcPr>
          <w:p w14:paraId="6EA5BE06">
            <w:pPr>
              <w:jc w:val="center"/>
              <w:rPr>
                <w:b/>
                <w:sz w:val="36"/>
                <w:szCs w:val="36"/>
                <w:lang w:val="zh-CN"/>
              </w:rPr>
            </w:pPr>
            <w:r>
              <w:rPr>
                <w:rFonts w:eastAsia="Calibri"/>
                <w:b/>
                <w:sz w:val="36"/>
                <w:szCs w:val="36"/>
                <w:lang w:val="zh-CN"/>
              </w:rPr>
              <w:t>УНИВЕРЗИТЕТ У БАЊОЈ ЛУЦИ</w:t>
            </w:r>
          </w:p>
          <w:p w14:paraId="7C1876F9">
            <w:pPr>
              <w:jc w:val="center"/>
              <w:rPr>
                <w:sz w:val="32"/>
                <w:szCs w:val="32"/>
                <w:lang w:val="zh-CN"/>
              </w:rPr>
            </w:pPr>
            <w:r>
              <w:rPr>
                <w:rFonts w:eastAsia="Calibri"/>
                <w:sz w:val="32"/>
                <w:szCs w:val="32"/>
                <w:lang w:val="zh-CN"/>
              </w:rPr>
              <w:t>МЕДИЦИНСКИ ФАКУЛТЕТ</w:t>
            </w:r>
          </w:p>
          <w:p w14:paraId="4C4BD6EC">
            <w:pPr>
              <w:spacing w:before="120" w:after="0"/>
              <w:jc w:val="center"/>
              <w:rPr>
                <w:sz w:val="32"/>
                <w:szCs w:val="32"/>
                <w:lang w:val="zh-CN"/>
              </w:rPr>
            </w:pPr>
            <w:r>
              <w:rPr>
                <w:rFonts w:eastAsia="Calibri"/>
                <w:sz w:val="32"/>
                <w:szCs w:val="32"/>
                <w:lang w:val="zh-CN"/>
              </w:rPr>
              <w:t>Катедра за гинекологију и акушерство</w:t>
            </w:r>
          </w:p>
          <w:p w14:paraId="40E7AA0C">
            <w:pPr>
              <w:jc w:val="center"/>
              <w:rPr>
                <w:lang w:val="zh-CN"/>
              </w:rPr>
            </w:pPr>
          </w:p>
        </w:tc>
        <w:tc>
          <w:tcPr>
            <w:tcW w:w="2960" w:type="dxa"/>
            <w:tcBorders>
              <w:top w:val="nil"/>
              <w:left w:val="nil"/>
              <w:right w:val="nil"/>
              <w:insideV w:val="nil"/>
            </w:tcBorders>
            <w:shd w:val="clear" w:color="auto" w:fill="auto"/>
            <w:vAlign w:val="center"/>
          </w:tcPr>
          <w:p w14:paraId="505F3D65">
            <w:pPr>
              <w:jc w:val="center"/>
              <w:rPr>
                <w:lang w:val="zh-CN"/>
              </w:rPr>
            </w:pPr>
            <w:r>
              <w:drawing>
                <wp:inline distT="0" distB="0" distL="0" distR="0">
                  <wp:extent cx="981075" cy="1153160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15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26F31">
      <w:pPr>
        <w:rPr>
          <w:lang w:val="ru-RU"/>
        </w:rPr>
      </w:pPr>
    </w:p>
    <w:p w14:paraId="6511B8DF">
      <w:pPr>
        <w:jc w:val="right"/>
        <w:rPr>
          <w:b/>
          <w:color w:val="FF0000"/>
          <w:sz w:val="22"/>
          <w:lang w:val="zh-CN"/>
        </w:rPr>
      </w:pPr>
    </w:p>
    <w:tbl>
      <w:tblPr>
        <w:tblStyle w:val="5"/>
        <w:tblW w:w="14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" w:type="dxa"/>
          <w:bottom w:w="0" w:type="dxa"/>
          <w:right w:w="5" w:type="dxa"/>
        </w:tblCellMar>
      </w:tblPr>
      <w:tblGrid>
        <w:gridCol w:w="1281"/>
        <w:gridCol w:w="2400"/>
        <w:gridCol w:w="1600"/>
        <w:gridCol w:w="2877"/>
        <w:gridCol w:w="1279"/>
        <w:gridCol w:w="1280"/>
        <w:gridCol w:w="1281"/>
        <w:gridCol w:w="1281"/>
        <w:gridCol w:w="1279"/>
      </w:tblGrid>
      <w:tr w14:paraId="523A2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c>
          <w:tcPr>
            <w:tcW w:w="1281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7D3DBA71">
            <w:pPr>
              <w:jc w:val="center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Школска година</w:t>
            </w:r>
          </w:p>
        </w:tc>
        <w:tc>
          <w:tcPr>
            <w:tcW w:w="240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73E7041A">
            <w:pPr>
              <w:ind w:left="57" w:right="57" w:firstLine="0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Предмет</w:t>
            </w:r>
          </w:p>
        </w:tc>
        <w:tc>
          <w:tcPr>
            <w:tcW w:w="160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7991AE2F">
            <w:pPr>
              <w:jc w:val="center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Шифра</w:t>
            </w:r>
            <w:r>
              <w:rPr>
                <w:rFonts w:ascii="Times New Roman" w:hAnsi="Times New Roman" w:eastAsia="Calibri"/>
                <w:b/>
                <w:sz w:val="22"/>
                <w:szCs w:val="22"/>
                <w:lang w:val="sr-Latn-BA"/>
              </w:rPr>
              <w:t xml:space="preserve"> </w:t>
            </w: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предмета</w:t>
            </w:r>
          </w:p>
        </w:tc>
        <w:tc>
          <w:tcPr>
            <w:tcW w:w="2877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4420AD63">
            <w:pPr>
              <w:ind w:left="57" w:right="57" w:firstLine="0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Студијски програм</w:t>
            </w:r>
          </w:p>
        </w:tc>
        <w:tc>
          <w:tcPr>
            <w:tcW w:w="1279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3948F34E">
            <w:pPr>
              <w:jc w:val="center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Циклус студија</w:t>
            </w:r>
          </w:p>
        </w:tc>
        <w:tc>
          <w:tcPr>
            <w:tcW w:w="128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519F1B0D">
            <w:pPr>
              <w:jc w:val="center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Година студија</w:t>
            </w:r>
          </w:p>
        </w:tc>
        <w:tc>
          <w:tcPr>
            <w:tcW w:w="1281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1EFB1C64">
            <w:pPr>
              <w:jc w:val="center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Семестар</w:t>
            </w:r>
          </w:p>
        </w:tc>
        <w:tc>
          <w:tcPr>
            <w:tcW w:w="128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28BD2C47">
            <w:pPr>
              <w:jc w:val="center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Број студената</w:t>
            </w:r>
          </w:p>
        </w:tc>
        <w:tc>
          <w:tcPr>
            <w:tcW w:w="1278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0107781F">
            <w:pPr>
              <w:jc w:val="center"/>
              <w:rPr>
                <w:b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Број група за вјежбе</w:t>
            </w:r>
          </w:p>
        </w:tc>
      </w:tr>
      <w:tr w14:paraId="704F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c>
          <w:tcPr>
            <w:tcW w:w="1281" w:type="dxa"/>
            <w:shd w:val="clear" w:color="auto" w:fill="auto"/>
            <w:tcMar>
              <w:left w:w="5" w:type="dxa"/>
            </w:tcMar>
            <w:vAlign w:val="center"/>
          </w:tcPr>
          <w:p w14:paraId="2C3722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eastAsia="Calibri"/>
                <w:sz w:val="22"/>
                <w:szCs w:val="22"/>
                <w:lang w:val="sr-Latn-BA"/>
              </w:rPr>
              <w:t>202</w:t>
            </w:r>
            <w:r>
              <w:rPr>
                <w:rFonts w:ascii="Times New Roman" w:hAnsi="Times New Roman" w:eastAsia="Calibri"/>
                <w:sz w:val="22"/>
                <w:szCs w:val="22"/>
                <w:lang w:val="zh-CN"/>
              </w:rPr>
              <w:t>6</w:t>
            </w:r>
            <w:r>
              <w:rPr>
                <w:rFonts w:ascii="Times New Roman" w:hAnsi="Times New Roman" w:eastAsia="Calibri"/>
                <w:sz w:val="22"/>
                <w:szCs w:val="22"/>
              </w:rPr>
              <w:t>/20</w:t>
            </w:r>
            <w:r>
              <w:rPr>
                <w:rFonts w:ascii="Times New Roman" w:hAnsi="Times New Roman" w:eastAsia="Calibri"/>
                <w:sz w:val="22"/>
                <w:szCs w:val="22"/>
                <w:lang w:val="sr-Latn-BA"/>
              </w:rPr>
              <w:t>2</w:t>
            </w:r>
            <w:r>
              <w:rPr>
                <w:rFonts w:ascii="Times New Roman" w:hAnsi="Times New Roman" w:eastAsia="Calibri"/>
                <w:sz w:val="22"/>
                <w:szCs w:val="22"/>
                <w:lang w:val="zh-CN"/>
              </w:rPr>
              <w:t>7</w:t>
            </w:r>
            <w:r>
              <w:rPr>
                <w:rFonts w:ascii="Times New Roman" w:hAnsi="Times New Roman" w:eastAsia="Calibri"/>
                <w:sz w:val="22"/>
                <w:szCs w:val="22"/>
              </w:rPr>
              <w:t>.</w:t>
            </w:r>
          </w:p>
        </w:tc>
        <w:tc>
          <w:tcPr>
            <w:tcW w:w="2400" w:type="dxa"/>
            <w:shd w:val="clear" w:color="auto" w:fill="auto"/>
            <w:tcMar>
              <w:left w:w="5" w:type="dxa"/>
            </w:tcMar>
            <w:vAlign w:val="center"/>
          </w:tcPr>
          <w:p w14:paraId="3F25B9B2">
            <w:pPr>
              <w:ind w:left="57" w:right="57" w:firstLine="0"/>
              <w:rPr>
                <w:rFonts w:ascii="Times New Roman" w:hAnsi="Times New Roman"/>
                <w:sz w:val="22"/>
                <w:szCs w:val="22"/>
                <w:lang w:val="zh-CN"/>
              </w:rPr>
            </w:pPr>
            <w:r>
              <w:rPr>
                <w:rFonts w:ascii="Times New Roman" w:hAnsi="Times New Roman" w:eastAsia="Calibri"/>
                <w:b/>
                <w:sz w:val="22"/>
                <w:szCs w:val="22"/>
                <w:lang w:val="zh-CN"/>
              </w:rPr>
              <w:t>Акутна и ургентна стања у гинекологији акушерству, перинатологији</w:t>
            </w:r>
          </w:p>
        </w:tc>
        <w:tc>
          <w:tcPr>
            <w:tcW w:w="1600" w:type="dxa"/>
            <w:shd w:val="clear" w:color="auto" w:fill="auto"/>
            <w:tcMar>
              <w:left w:w="5" w:type="dxa"/>
            </w:tcMar>
            <w:vAlign w:val="center"/>
          </w:tcPr>
          <w:p w14:paraId="3129502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color w:val="000000"/>
                <w:spacing w:val="0"/>
                <w:sz w:val="22"/>
                <w:szCs w:val="22"/>
                <w:lang w:val="zh-CN"/>
              </w:rPr>
              <w:t>ИСМ07АУСГА</w:t>
            </w:r>
            <w:r>
              <w:rPr>
                <w:rFonts w:ascii="Times New Roman" w:hAnsi="Times New Roman"/>
                <w:sz w:val="22"/>
                <w:szCs w:val="22"/>
                <w:lang w:val="zh-CN"/>
              </w:rPr>
              <w:t xml:space="preserve"> </w:t>
            </w:r>
          </w:p>
        </w:tc>
        <w:tc>
          <w:tcPr>
            <w:tcW w:w="2877" w:type="dxa"/>
            <w:shd w:val="clear" w:color="auto" w:fill="auto"/>
            <w:tcMar>
              <w:left w:w="5" w:type="dxa"/>
            </w:tcMar>
            <w:vAlign w:val="center"/>
          </w:tcPr>
          <w:p w14:paraId="0C75B38E">
            <w:pPr>
              <w:ind w:left="57" w:right="57" w:firstLine="660" w:firstLineChars="300"/>
              <w:rPr>
                <w:lang w:val="zh-CN"/>
              </w:rPr>
            </w:pPr>
            <w:bookmarkStart w:id="0" w:name="_GoBack"/>
            <w:bookmarkEnd w:id="0"/>
            <w:r>
              <w:rPr>
                <w:rFonts w:ascii="Times New Roman" w:hAnsi="Times New Roman" w:eastAsia="Calibri"/>
                <w:sz w:val="22"/>
                <w:szCs w:val="22"/>
                <w:lang w:val="zh-CN"/>
              </w:rPr>
              <w:t>Медицина</w:t>
            </w:r>
          </w:p>
        </w:tc>
        <w:tc>
          <w:tcPr>
            <w:tcW w:w="1279" w:type="dxa"/>
            <w:shd w:val="clear" w:color="auto" w:fill="auto"/>
            <w:tcMar>
              <w:left w:w="5" w:type="dxa"/>
            </w:tcMar>
            <w:vAlign w:val="center"/>
          </w:tcPr>
          <w:p w14:paraId="0F34A82C">
            <w:pPr>
              <w:jc w:val="center"/>
              <w:rPr>
                <w:lang w:val="zh-CN"/>
              </w:rPr>
            </w:pPr>
            <w:r>
              <w:rPr>
                <w:rFonts w:ascii="Times New Roman" w:hAnsi="Times New Roman" w:eastAsia="Calibri"/>
                <w:sz w:val="22"/>
                <w:szCs w:val="22"/>
                <w:lang w:val="zh-CN"/>
              </w:rPr>
              <w:t>Први</w:t>
            </w:r>
          </w:p>
        </w:tc>
        <w:tc>
          <w:tcPr>
            <w:tcW w:w="1280" w:type="dxa"/>
            <w:shd w:val="clear" w:color="auto" w:fill="auto"/>
            <w:tcMar>
              <w:left w:w="5" w:type="dxa"/>
            </w:tcMar>
            <w:vAlign w:val="center"/>
          </w:tcPr>
          <w:p w14:paraId="66A8BD6F">
            <w:pPr>
              <w:jc w:val="center"/>
              <w:rPr>
                <w:lang w:val="zh-CN"/>
              </w:rPr>
            </w:pPr>
            <w:r>
              <w:rPr>
                <w:rFonts w:ascii="Times New Roman" w:hAnsi="Times New Roman" w:eastAsia="Calibri"/>
                <w:sz w:val="22"/>
                <w:szCs w:val="22"/>
                <w:lang w:val="zh-CN"/>
              </w:rPr>
              <w:t>Пета</w:t>
            </w:r>
          </w:p>
        </w:tc>
        <w:tc>
          <w:tcPr>
            <w:tcW w:w="1281" w:type="dxa"/>
            <w:shd w:val="clear" w:color="auto" w:fill="auto"/>
            <w:tcMar>
              <w:left w:w="5" w:type="dxa"/>
            </w:tcMar>
            <w:vAlign w:val="center"/>
          </w:tcPr>
          <w:p w14:paraId="508C5839">
            <w:pPr>
              <w:jc w:val="center"/>
              <w:rPr>
                <w:lang w:val="zh-CN"/>
              </w:rPr>
            </w:pPr>
            <w:r>
              <w:rPr>
                <w:rFonts w:ascii="Times New Roman" w:hAnsi="Times New Roman" w:eastAsia="Calibri"/>
                <w:sz w:val="22"/>
                <w:szCs w:val="22"/>
                <w:lang w:val="sr-Latn-BA"/>
              </w:rPr>
              <w:t>IX</w:t>
            </w:r>
          </w:p>
        </w:tc>
        <w:tc>
          <w:tcPr>
            <w:tcW w:w="1280" w:type="dxa"/>
            <w:shd w:val="clear" w:color="auto" w:fill="auto"/>
            <w:tcMar>
              <w:left w:w="5" w:type="dxa"/>
            </w:tcMar>
            <w:vAlign w:val="center"/>
          </w:tcPr>
          <w:p w14:paraId="4D044298">
            <w:pPr>
              <w:jc w:val="center"/>
              <w:rPr>
                <w:rFonts w:hint="default" w:ascii="Times New Roman" w:hAnsi="Times New Roman"/>
                <w:sz w:val="22"/>
                <w:szCs w:val="22"/>
                <w:lang w:val="sr-Latn-BA"/>
              </w:rPr>
            </w:pPr>
            <w:r>
              <w:rPr>
                <w:rFonts w:hint="default"/>
                <w:sz w:val="22"/>
                <w:szCs w:val="22"/>
                <w:lang w:val="sr-Latn-BA"/>
              </w:rPr>
              <w:t>23</w:t>
            </w:r>
          </w:p>
        </w:tc>
        <w:tc>
          <w:tcPr>
            <w:tcW w:w="1278" w:type="dxa"/>
            <w:shd w:val="clear" w:color="auto" w:fill="auto"/>
            <w:tcMar>
              <w:left w:w="5" w:type="dxa"/>
            </w:tcMar>
            <w:vAlign w:val="center"/>
          </w:tcPr>
          <w:p w14:paraId="60220A2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GB"/>
              </w:rPr>
              <w:t>3</w:t>
            </w:r>
          </w:p>
        </w:tc>
      </w:tr>
    </w:tbl>
    <w:p w14:paraId="541F2D18">
      <w:pPr>
        <w:spacing w:before="240" w:after="120"/>
        <w:jc w:val="center"/>
        <w:rPr>
          <w:b/>
          <w:sz w:val="28"/>
          <w:szCs w:val="28"/>
          <w:lang w:val="zh-CN"/>
        </w:rPr>
      </w:pPr>
      <w:r>
        <w:rPr>
          <w:b/>
          <w:sz w:val="28"/>
          <w:szCs w:val="28"/>
          <w:lang w:val="zh-CN"/>
        </w:rPr>
        <w:t>ПЛАН И РАСПОРЕД ПРЕДАВАЊА</w:t>
      </w:r>
    </w:p>
    <w:tbl>
      <w:tblPr>
        <w:tblStyle w:val="5"/>
        <w:tblW w:w="14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" w:type="dxa"/>
          <w:bottom w:w="0" w:type="dxa"/>
          <w:right w:w="5" w:type="dxa"/>
        </w:tblCellMar>
      </w:tblPr>
      <w:tblGrid>
        <w:gridCol w:w="1120"/>
        <w:gridCol w:w="1304"/>
        <w:gridCol w:w="3715"/>
        <w:gridCol w:w="1416"/>
        <w:gridCol w:w="1260"/>
        <w:gridCol w:w="1350"/>
        <w:gridCol w:w="1421"/>
        <w:gridCol w:w="379"/>
        <w:gridCol w:w="2551"/>
      </w:tblGrid>
      <w:tr w14:paraId="5BFE5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634E23FF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Седмица</w:t>
            </w:r>
          </w:p>
        </w:tc>
        <w:tc>
          <w:tcPr>
            <w:tcW w:w="1304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0EF5DB18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Предавање</w:t>
            </w:r>
          </w:p>
        </w:tc>
        <w:tc>
          <w:tcPr>
            <w:tcW w:w="3714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6688AE4E">
            <w:pPr>
              <w:ind w:left="57" w:firstLine="0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Тематска јединица</w:t>
            </w:r>
          </w:p>
        </w:tc>
        <w:tc>
          <w:tcPr>
            <w:tcW w:w="1416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0BBB480B">
            <w:pPr>
              <w:ind w:left="57" w:firstLine="0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Дан</w:t>
            </w:r>
          </w:p>
        </w:tc>
        <w:tc>
          <w:tcPr>
            <w:tcW w:w="126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6C828467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Датум</w:t>
            </w:r>
          </w:p>
        </w:tc>
        <w:tc>
          <w:tcPr>
            <w:tcW w:w="135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6D90A137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Вријеме</w:t>
            </w:r>
          </w:p>
        </w:tc>
        <w:tc>
          <w:tcPr>
            <w:tcW w:w="1421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03553AF7">
            <w:pPr>
              <w:ind w:left="57" w:right="57" w:firstLine="0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Мјесто одржавања</w:t>
            </w:r>
          </w:p>
        </w:tc>
        <w:tc>
          <w:tcPr>
            <w:tcW w:w="379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194C82C2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Ч</w:t>
            </w:r>
          </w:p>
        </w:tc>
        <w:tc>
          <w:tcPr>
            <w:tcW w:w="255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0CE30A16">
            <w:pPr>
              <w:ind w:left="57" w:right="57" w:firstLine="0"/>
              <w:rPr>
                <w:b/>
                <w:lang w:val="zh-CN"/>
              </w:rPr>
            </w:pPr>
            <w:r>
              <w:rPr>
                <w:rFonts w:eastAsia="Calibri"/>
                <w:b/>
                <w:sz w:val="22"/>
                <w:szCs w:val="22"/>
                <w:lang w:val="zh-CN"/>
              </w:rPr>
              <w:t>Наставник</w:t>
            </w:r>
          </w:p>
        </w:tc>
      </w:tr>
      <w:tr w14:paraId="0194E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2282414B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54BD68A4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П1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0C5BC764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Порођај близанаца.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270C5F50">
            <w:pPr>
              <w:ind w:left="57" w:firstLine="0"/>
              <w:rPr>
                <w:b/>
                <w:bCs/>
                <w:sz w:val="22"/>
                <w:szCs w:val="22"/>
                <w:lang w:val="zh-CN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zh-CN"/>
              </w:rPr>
              <w:t>Према договору са одговорним наставником</w:t>
            </w: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21248D98">
            <w:pPr>
              <w:jc w:val="center"/>
              <w:rPr>
                <w:lang w:val="zh-CN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60CAB5DC">
            <w:pPr>
              <w:jc w:val="center"/>
              <w:rPr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7EC1C358">
            <w:pPr>
              <w:ind w:left="57" w:right="57" w:firstLine="0"/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Амфитетар ГАК</w:t>
            </w:r>
            <w:r>
              <w:rPr>
                <w:rFonts w:eastAsia="Calibri"/>
                <w:sz w:val="22"/>
                <w:szCs w:val="22"/>
              </w:rPr>
              <w:t>-a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49CACEB1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33CE8682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Бранка Чанчаревић-Ђајић</w:t>
            </w:r>
          </w:p>
        </w:tc>
      </w:tr>
      <w:tr w14:paraId="0B0E1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976" w:hRule="atLeast"/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4919B7E6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34AC76ED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П2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33D14505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Упалне болести у карлици.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4CD8BF38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5350D0C3">
            <w:pPr>
              <w:jc w:val="center"/>
              <w:rPr>
                <w:lang w:val="zh-CN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33703191">
            <w:pPr>
              <w:jc w:val="center"/>
              <w:rPr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448A5607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61241707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363E0429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Мирослав Поповић</w:t>
            </w:r>
          </w:p>
        </w:tc>
      </w:tr>
      <w:tr w14:paraId="29655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55A27632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III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5A36B870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П3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05D78BE4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Повреде гениталних органа. и ургентна стања у фертилној доби.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4825381D">
            <w:pPr>
              <w:ind w:left="57" w:firstLine="0"/>
              <w:rPr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48508E4B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3CA940CB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0E6C2ED9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5D0BDF37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3EA1CEA8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Мирослав Поповић</w:t>
            </w:r>
          </w:p>
        </w:tc>
      </w:tr>
      <w:tr w14:paraId="298B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1DD0660C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IV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4B210839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П4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1C4709EB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Пелвична бол.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6BEAB61D">
            <w:pPr>
              <w:ind w:left="57" w:firstLine="0"/>
              <w:rPr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55C9B058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42991BD3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10746C68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0F9DD441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18965ECB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Мирослав Поповић</w:t>
            </w:r>
          </w:p>
        </w:tc>
      </w:tr>
      <w:tr w14:paraId="33FF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2980BF8E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4C1234DD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П5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3801003B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Хипертензивна болест у трудноћи. 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0973B34C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1F629A5A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12C5DACE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1E24A42E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79038D5E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09FA4C80">
            <w:pPr>
              <w:ind w:left="57" w:right="57" w:firstLine="0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Доц. Др Арнела Церић Банићевић</w:t>
            </w:r>
          </w:p>
        </w:tc>
      </w:tr>
      <w:tr w14:paraId="5A88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6C087358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7FF44C0A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П6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63A47394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Дијабетес меллитус и трудноћа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4EA4F90A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73D2B189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4C7A1D15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31FE7B74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765DA238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13850BD8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Бранка Чанчаревић-Ђајић</w:t>
            </w:r>
          </w:p>
        </w:tc>
      </w:tr>
      <w:tr w14:paraId="0322C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0D61DDFC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VII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00BEA4C9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П7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74F44E2E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Имунолошка обољења у трудноћи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1C9BD3F2">
            <w:pPr>
              <w:ind w:left="57" w:firstLine="0"/>
              <w:rPr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33FBB483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3918D245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716BAC22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475A2E4B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01962169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Бранка Чанчаревић-Ђајић</w:t>
            </w:r>
          </w:p>
        </w:tc>
      </w:tr>
      <w:tr w14:paraId="17EC2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0B2EFAEE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VIII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7B91F493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П8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1720734F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Патолошки порођај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7F577B95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6ECB1387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1E337B60">
            <w:pPr>
              <w:jc w:val="center"/>
              <w:rPr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52A3C741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57B94D6A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563A8387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Доц. Др Арнела Церић Банићевић</w:t>
            </w:r>
          </w:p>
        </w:tc>
      </w:tr>
      <w:tr w14:paraId="30FBE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3F6E6CA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IX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5865BD34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П9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731849B2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Акутна и ургентна стања у постпарталном периоду – пуерперијуму.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55426134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34881A19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723908A6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002037F9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0D842024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2990217E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Доц. Др Арнела Церић Банићевић</w:t>
            </w:r>
          </w:p>
        </w:tc>
      </w:tr>
      <w:tr w14:paraId="42E38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6AAA3047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5F2B3366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П10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6BDB7F94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Шок.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4BA92C47">
            <w:pPr>
              <w:ind w:left="57" w:firstLine="0"/>
              <w:rPr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2099E331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6A59CC2A">
            <w:pPr>
              <w:jc w:val="center"/>
              <w:rPr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42F360C7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78E96D88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2740760E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Доц. Др Арнела Церић Банићевић</w:t>
            </w:r>
          </w:p>
        </w:tc>
      </w:tr>
      <w:tr w14:paraId="6ECD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7C454699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4406CC46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П11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1CB4BBF9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Крварење у трудноћи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3D3A151D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19D6CBE3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38A80443">
            <w:pPr>
              <w:jc w:val="center"/>
              <w:rPr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7F88404B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491887F1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2B81405F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Доц. Др Арнела Церић Банићевић</w:t>
            </w:r>
          </w:p>
        </w:tc>
      </w:tr>
      <w:tr w14:paraId="0C2F3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6583624D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5843664E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П12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7BEB4290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Претермински и посттермински порођај.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21A6FCEA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284E087B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180B0586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6C50FB6A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19BA4BA4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648FD1CF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Бранка Чанчаревић-Ђајић</w:t>
            </w:r>
          </w:p>
        </w:tc>
      </w:tr>
      <w:tr w14:paraId="5E59B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020A52C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XIII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436F2493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П13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47CCA3A3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Акутна и ургентна стања у пери - и постменопаузи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6DE661F6">
            <w:pPr>
              <w:ind w:left="57" w:firstLine="0"/>
              <w:rPr>
                <w:rFonts w:eastAsia="Calibri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4A4D0354">
            <w:pPr>
              <w:jc w:val="center"/>
              <w:rPr>
                <w:rFonts w:eastAsia="Calibri"/>
                <w:lang w:val="zh-CN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382BDBFA">
            <w:pPr>
              <w:jc w:val="center"/>
              <w:rPr>
                <w:rFonts w:eastAsia="Calibri"/>
                <w:lang w:val="zh-CN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0B3ACB70">
            <w:pPr>
              <w:ind w:left="57" w:right="57" w:firstLine="0"/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Амфитетар 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12135AAC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298B979A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Мирослав Поповић</w:t>
            </w:r>
          </w:p>
        </w:tc>
      </w:tr>
      <w:tr w14:paraId="5EE09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19A8B280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XIV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245D7894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П14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0C64FA7A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Хируршка обољења у трудноћи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36D74A4E">
            <w:pPr>
              <w:ind w:left="57" w:firstLine="0"/>
              <w:rPr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1C478D01">
            <w:pPr>
              <w:jc w:val="center"/>
              <w:rPr>
                <w:rFonts w:eastAsia="Calibr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71516BE6">
            <w:pPr>
              <w:jc w:val="center"/>
              <w:rPr>
                <w:rFonts w:eastAsia="Calibri"/>
                <w:lang w:val="de-DE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4C9FD801">
            <w:pPr>
              <w:ind w:left="57" w:right="57" w:firstLine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 xml:space="preserve">Амфитетар </w:t>
            </w:r>
            <w:r>
              <w:rPr>
                <w:rFonts w:eastAsia="Calibri"/>
                <w:sz w:val="22"/>
                <w:szCs w:val="22"/>
              </w:rPr>
              <w:t>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3E5F5559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507583A8">
            <w:pPr>
              <w:ind w:left="57" w:right="57" w:firstLine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Мирослав Поповић</w:t>
            </w:r>
          </w:p>
        </w:tc>
      </w:tr>
      <w:tr w14:paraId="3CCCB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120" w:type="dxa"/>
            <w:shd w:val="clear" w:color="auto" w:fill="auto"/>
            <w:tcMar>
              <w:left w:w="5" w:type="dxa"/>
            </w:tcMar>
            <w:vAlign w:val="center"/>
          </w:tcPr>
          <w:p w14:paraId="26BA606B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XV</w:t>
            </w:r>
          </w:p>
        </w:tc>
        <w:tc>
          <w:tcPr>
            <w:tcW w:w="1304" w:type="dxa"/>
            <w:shd w:val="clear" w:color="auto" w:fill="auto"/>
            <w:tcMar>
              <w:left w:w="5" w:type="dxa"/>
            </w:tcMar>
            <w:vAlign w:val="center"/>
          </w:tcPr>
          <w:p w14:paraId="4BC5E9E9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П15</w:t>
            </w:r>
          </w:p>
        </w:tc>
        <w:tc>
          <w:tcPr>
            <w:tcW w:w="3714" w:type="dxa"/>
            <w:shd w:val="clear" w:color="auto" w:fill="auto"/>
            <w:tcMar>
              <w:left w:w="5" w:type="dxa"/>
            </w:tcMar>
            <w:vAlign w:val="center"/>
          </w:tcPr>
          <w:p w14:paraId="4CEAB4DE">
            <w:pPr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Оперативно довршавање порођаја вагиналним и абдоминални путем. Аналгезија и  анестезија.    </w:t>
            </w:r>
          </w:p>
        </w:tc>
        <w:tc>
          <w:tcPr>
            <w:tcW w:w="1416" w:type="dxa"/>
            <w:shd w:val="clear" w:color="auto" w:fill="auto"/>
            <w:tcMar>
              <w:left w:w="5" w:type="dxa"/>
            </w:tcMar>
            <w:vAlign w:val="center"/>
          </w:tcPr>
          <w:p w14:paraId="4D5C1AE1">
            <w:pPr>
              <w:ind w:left="57" w:firstLine="0"/>
              <w:rPr>
                <w:sz w:val="22"/>
                <w:szCs w:val="22"/>
                <w:lang w:val="zh-CN"/>
              </w:rPr>
            </w:pPr>
          </w:p>
        </w:tc>
        <w:tc>
          <w:tcPr>
            <w:tcW w:w="1260" w:type="dxa"/>
            <w:shd w:val="clear" w:color="auto" w:fill="auto"/>
            <w:tcMar>
              <w:left w:w="5" w:type="dxa"/>
            </w:tcMar>
            <w:vAlign w:val="center"/>
          </w:tcPr>
          <w:p w14:paraId="3A834EEA">
            <w:pPr>
              <w:jc w:val="center"/>
              <w:rPr>
                <w:sz w:val="22"/>
                <w:szCs w:val="22"/>
                <w:lang w:val="zh-CN"/>
              </w:rPr>
            </w:pPr>
          </w:p>
        </w:tc>
        <w:tc>
          <w:tcPr>
            <w:tcW w:w="1350" w:type="dxa"/>
            <w:shd w:val="clear" w:color="auto" w:fill="auto"/>
            <w:tcMar>
              <w:left w:w="5" w:type="dxa"/>
            </w:tcMar>
            <w:vAlign w:val="center"/>
          </w:tcPr>
          <w:p w14:paraId="07319B8A">
            <w:pPr>
              <w:jc w:val="center"/>
              <w:rPr>
                <w:sz w:val="22"/>
                <w:szCs w:val="22"/>
                <w:lang w:val="zh-CN"/>
              </w:rPr>
            </w:pPr>
          </w:p>
        </w:tc>
        <w:tc>
          <w:tcPr>
            <w:tcW w:w="1421" w:type="dxa"/>
            <w:shd w:val="clear" w:color="auto" w:fill="auto"/>
            <w:tcMar>
              <w:left w:w="5" w:type="dxa"/>
            </w:tcMar>
            <w:vAlign w:val="center"/>
          </w:tcPr>
          <w:p w14:paraId="171EB5A3">
            <w:pPr>
              <w:ind w:left="57" w:right="57" w:firstLine="0"/>
              <w:jc w:val="center"/>
              <w:rPr>
                <w:sz w:val="22"/>
                <w:szCs w:val="22"/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Амфитетар ГАК-а</w:t>
            </w:r>
          </w:p>
        </w:tc>
        <w:tc>
          <w:tcPr>
            <w:tcW w:w="379" w:type="dxa"/>
            <w:shd w:val="clear" w:color="auto" w:fill="auto"/>
            <w:tcMar>
              <w:left w:w="5" w:type="dxa"/>
            </w:tcMar>
            <w:vAlign w:val="center"/>
          </w:tcPr>
          <w:p w14:paraId="7E5B2041">
            <w:pPr>
              <w:jc w:val="center"/>
              <w:rPr>
                <w:sz w:val="22"/>
                <w:szCs w:val="22"/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1</w:t>
            </w:r>
          </w:p>
        </w:tc>
        <w:tc>
          <w:tcPr>
            <w:tcW w:w="2550" w:type="dxa"/>
            <w:shd w:val="clear" w:color="auto" w:fill="auto"/>
            <w:tcMar>
              <w:left w:w="5" w:type="dxa"/>
            </w:tcMar>
            <w:vAlign w:val="center"/>
          </w:tcPr>
          <w:p w14:paraId="7759B36F">
            <w:pPr>
              <w:ind w:left="57" w:right="57" w:firstLine="0"/>
              <w:rPr>
                <w:sz w:val="22"/>
                <w:szCs w:val="22"/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Проф. др Мирослав Поповић</w:t>
            </w:r>
          </w:p>
        </w:tc>
      </w:tr>
    </w:tbl>
    <w:p w14:paraId="2A6FDFC1">
      <w:pPr>
        <w:spacing w:before="80" w:after="0"/>
      </w:pPr>
      <w:r>
        <w:rPr>
          <w:sz w:val="20"/>
          <w:szCs w:val="20"/>
          <w:lang w:val="zh-CN"/>
        </w:rPr>
        <w:t>П1, П2, ...., П15 – Предавање прво, Предавање друго, ..., Предавање петнаесто, Ч – Часова</w:t>
      </w:r>
    </w:p>
    <w:p w14:paraId="0A3EA3D3">
      <w:pPr>
        <w:spacing w:before="240" w:after="120"/>
        <w:jc w:val="center"/>
      </w:pPr>
      <w:r>
        <w:rPr>
          <w:sz w:val="20"/>
          <w:szCs w:val="20"/>
          <w:lang w:val="zh-CN"/>
        </w:rPr>
        <w:t xml:space="preserve">       </w:t>
      </w:r>
      <w:r>
        <w:rPr>
          <w:b/>
          <w:sz w:val="28"/>
          <w:szCs w:val="28"/>
          <w:lang w:val="zh-CN"/>
        </w:rPr>
        <w:t>ПЛАН ВЈЕЖБИ</w:t>
      </w:r>
    </w:p>
    <w:tbl>
      <w:tblPr>
        <w:tblStyle w:val="5"/>
        <w:tblW w:w="14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" w:type="dxa"/>
          <w:bottom w:w="0" w:type="dxa"/>
          <w:right w:w="5" w:type="dxa"/>
        </w:tblCellMar>
      </w:tblPr>
      <w:tblGrid>
        <w:gridCol w:w="1305"/>
        <w:gridCol w:w="1080"/>
        <w:gridCol w:w="1305"/>
        <w:gridCol w:w="10882"/>
      </w:tblGrid>
      <w:tr w14:paraId="7D5F5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3D139986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Седмица</w:t>
            </w:r>
          </w:p>
        </w:tc>
        <w:tc>
          <w:tcPr>
            <w:tcW w:w="1080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6C021323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Вјежба</w:t>
            </w:r>
          </w:p>
        </w:tc>
        <w:tc>
          <w:tcPr>
            <w:tcW w:w="1305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5B7C4ECA">
            <w:pPr>
              <w:jc w:val="center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Тип вјежбе</w:t>
            </w:r>
          </w:p>
        </w:tc>
        <w:tc>
          <w:tcPr>
            <w:tcW w:w="10881" w:type="dxa"/>
            <w:shd w:val="clear" w:color="auto" w:fill="D8D8D8" w:themeFill="background1" w:themeFillShade="D9"/>
            <w:tcMar>
              <w:left w:w="5" w:type="dxa"/>
            </w:tcMar>
            <w:vAlign w:val="center"/>
          </w:tcPr>
          <w:p w14:paraId="3F4CF75F">
            <w:pPr>
              <w:ind w:left="57" w:firstLine="0"/>
              <w:rPr>
                <w:b/>
                <w:lang w:val="zh-CN"/>
              </w:rPr>
            </w:pPr>
            <w:r>
              <w:rPr>
                <w:rFonts w:eastAsia="Calibri"/>
                <w:b/>
                <w:lang w:val="zh-CN"/>
              </w:rPr>
              <w:t>Тематска јединица</w:t>
            </w:r>
          </w:p>
        </w:tc>
      </w:tr>
      <w:tr w14:paraId="3B4EC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7FD0E6A9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5FE1F251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В1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76DF0467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02BE28FC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Перфоратио утери виолента- повреде гениталних органа. Сексуално насиље –  силовање, дефиниција, физикални  преглед, лаб. испитивање, медицински третман. Преоперативна припрема.  Непосредна постоперативна заштита.                                                                                                                                   </w:t>
            </w:r>
          </w:p>
        </w:tc>
      </w:tr>
      <w:tr w14:paraId="36DCA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370431DB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31325B65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В2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5503B0BC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483372F6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Акутна и ургентна стања у пери - и постменопаузи.Хаеморрхагиае гравис- и   код Ца цервицис. </w:t>
            </w:r>
          </w:p>
          <w:p w14:paraId="01648DE5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Малигна обољења – компликације.                    </w:t>
            </w:r>
          </w:p>
        </w:tc>
      </w:tr>
      <w:tr w14:paraId="66274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652350DC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III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51509A6B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В3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28C59B2C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107B2E51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Акутна и ургентна стања у ђетињству и пубертету ( специфичности прегледа,  најчешћа обољења и водећи симптоми. Дијагностика и терапија)</w:t>
            </w:r>
          </w:p>
        </w:tc>
      </w:tr>
      <w:tr w14:paraId="64A4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2395838C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IV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1FE9C24C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В4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6EBDC27E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251A9C5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zh-CN"/>
              </w:rPr>
              <w:t xml:space="preserve">Акутна и ургентна стања у фертилној доби – изван трудноће (обољења код   којих је водећи симптом бол и исцједак. </w:t>
            </w:r>
          </w:p>
        </w:tc>
      </w:tr>
      <w:tr w14:paraId="2AF24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274923B8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04832C41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В5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352226FB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57EB7AFE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Упалне болести у карлици – ПИД  инфламматорy дисеасе). Симптоматологија, дијагностика, терапија,  диференцијална дијагноза</w:t>
            </w:r>
          </w:p>
        </w:tc>
      </w:tr>
      <w:tr w14:paraId="43DB2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0842B82B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759F0405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В6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4D6AFC61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35118065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Пелвична бол. Карличне тумефакције (Пелвиц масс) оваријалне, тубарне, утерине,  И друге етиологије. Симптоматологија,дијагностика, терапија. </w:t>
            </w:r>
          </w:p>
        </w:tc>
      </w:tr>
      <w:tr w14:paraId="7E257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0192834D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VII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11B1DAB0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В7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6B5ADA6C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0FFCDE66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Хипертензивна болест у трудноћи. Дијабетес меллитус и трудноћа. ИУГР   плода.</w:t>
            </w:r>
          </w:p>
        </w:tc>
      </w:tr>
      <w:tr w14:paraId="32814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59734AAB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VIII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6A31697A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В8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2EB518E0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20F11A8A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Хируршка обољења у трудноћи. Дијагностички поступци и терапија.Процјена интраутериног стања плода. Фетални дистрес- фетална патња- фетална  смрт. Васа праевиа, компликације пупчаника. Реанимација новорођенчета.    </w:t>
            </w:r>
          </w:p>
        </w:tc>
      </w:tr>
      <w:tr w14:paraId="1F3C5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51E2AC3F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IX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35B64B8D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В9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53730C32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5AEA97C6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Синдром хиперстимулације овулације. Симптоматологија, дијагностика, терапија.  Акутна и ургентна стања у трудноћи. Хематолошки систем. Кардиоваскуларни  систем – кардијалне операције у трудница.</w:t>
            </w:r>
          </w:p>
        </w:tc>
      </w:tr>
      <w:tr w14:paraId="44E31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795FC8FA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4DEAEE55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В10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4891F15F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03CC38E8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Имунолошка обољења у трудноћи (хиперемесис гравидарум, Рх имунизација, инкомпатибилија у АБО систему, алоимуна тромбоцитопенија, антифосфолипидни синдром).  </w:t>
            </w:r>
          </w:p>
        </w:tc>
      </w:tr>
      <w:tr w14:paraId="5F67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65509F2B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27A2BBA3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В11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2A45CCC6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6C98A03F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>Абнормалности материчних контракција. Индукција порођаја. Превременопрснуће плодових овојака. Синдром интраамнијске инфекције. Патолошки порођај; неправилности става и положаја плода. Дистоција рамена   плода. Абнормалности порођајног канала. Руптура утеруса.</w:t>
            </w:r>
          </w:p>
        </w:tc>
      </w:tr>
      <w:tr w14:paraId="30912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007D22AA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58B3959D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В12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15ACE888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23C4DA5F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Акутна и ургентна стања у постпарталном периоду – пуерперијуму. </w:t>
            </w:r>
          </w:p>
          <w:p w14:paraId="42921014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Шок –хиповолемијски, хеморагични. Емболија плодовом водом, емболија плућа  </w:t>
            </w:r>
          </w:p>
        </w:tc>
      </w:tr>
      <w:tr w14:paraId="211D1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4E9EF3C4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XIII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702E48BF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В13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0100DFFE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4432B940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Крварење у трудноћи ( спонтани побачаји, Гравидитас ецтопица, трофобласне   болести, плацента превија и абрупција постељице).  Дијагностика – диференцијална дијагностика. </w:t>
            </w:r>
          </w:p>
          <w:p w14:paraId="4B1FA8EE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Терапијски поступци.   </w:t>
            </w:r>
          </w:p>
        </w:tc>
      </w:tr>
      <w:tr w14:paraId="357E5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4BB0BB37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XIV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383C6193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В14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00DC296B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57715685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Претермински и посттермински порођај. Порођај близанаца. Оперативно довршавање порођаја вагиналним и абдоминални путем. Аналгезија и  анестезија.    </w:t>
            </w:r>
          </w:p>
        </w:tc>
      </w:tr>
      <w:tr w14:paraId="6BD1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20" w:hRule="atLeast"/>
          <w:jc w:val="center"/>
        </w:trPr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0E156324">
            <w:pPr>
              <w:jc w:val="center"/>
              <w:rPr>
                <w:lang w:val="sr-Latn-BA"/>
              </w:rPr>
            </w:pPr>
            <w:r>
              <w:rPr>
                <w:rFonts w:eastAsia="Calibri"/>
                <w:sz w:val="22"/>
                <w:szCs w:val="22"/>
                <w:lang w:val="sr-Latn-BA"/>
              </w:rPr>
              <w:t>XV</w:t>
            </w:r>
          </w:p>
        </w:tc>
        <w:tc>
          <w:tcPr>
            <w:tcW w:w="1080" w:type="dxa"/>
            <w:shd w:val="clear" w:color="auto" w:fill="auto"/>
            <w:tcMar>
              <w:left w:w="5" w:type="dxa"/>
            </w:tcMar>
            <w:vAlign w:val="center"/>
          </w:tcPr>
          <w:p w14:paraId="471D16DE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В15</w:t>
            </w:r>
          </w:p>
        </w:tc>
        <w:tc>
          <w:tcPr>
            <w:tcW w:w="1305" w:type="dxa"/>
            <w:shd w:val="clear" w:color="auto" w:fill="auto"/>
            <w:tcMar>
              <w:left w:w="5" w:type="dxa"/>
            </w:tcMar>
            <w:vAlign w:val="center"/>
          </w:tcPr>
          <w:p w14:paraId="5022EF83">
            <w:pPr>
              <w:jc w:val="center"/>
              <w:rPr>
                <w:lang w:val="zh-CN"/>
              </w:rPr>
            </w:pPr>
            <w:r>
              <w:rPr>
                <w:rFonts w:eastAsia="Calibri"/>
                <w:sz w:val="22"/>
                <w:szCs w:val="22"/>
                <w:lang w:val="zh-CN"/>
              </w:rPr>
              <w:t>ТВ и ПР</w:t>
            </w:r>
          </w:p>
        </w:tc>
        <w:tc>
          <w:tcPr>
            <w:tcW w:w="10881" w:type="dxa"/>
            <w:shd w:val="clear" w:color="auto" w:fill="auto"/>
            <w:tcMar>
              <w:left w:w="5" w:type="dxa"/>
            </w:tcMar>
            <w:vAlign w:val="center"/>
          </w:tcPr>
          <w:p w14:paraId="6B755969">
            <w:pPr>
              <w:jc w:val="both"/>
              <w:rPr>
                <w:sz w:val="22"/>
                <w:szCs w:val="22"/>
                <w:lang w:val="zh-CN"/>
              </w:rPr>
            </w:pPr>
            <w:r>
              <w:rPr>
                <w:sz w:val="22"/>
                <w:szCs w:val="22"/>
                <w:lang w:val="zh-CN"/>
              </w:rPr>
              <w:t xml:space="preserve">Перфоратио утери виолента- повреде гениталних органа. Сексуално насиље –  силовање, дефиниција, физикални  преглед, лаб. испитивање, медицински третман. Преоперативна припрема.  Непосредна постоперативна заштита.                                                                                                                                   </w:t>
            </w:r>
          </w:p>
        </w:tc>
      </w:tr>
    </w:tbl>
    <w:p w14:paraId="2D78D012">
      <w:pPr>
        <w:spacing w:before="80" w:after="0"/>
      </w:pPr>
      <w:r>
        <w:rPr>
          <w:sz w:val="20"/>
          <w:szCs w:val="20"/>
          <w:lang w:val="zh-CN"/>
        </w:rPr>
        <w:t>В1, В2, ...., В15 – Вјежба прва, Вјежба друга, ..., Вјежба петнаеста, ТВ – Теоријска вјежба,</w:t>
      </w:r>
      <w:r>
        <w:rPr>
          <w:sz w:val="20"/>
          <w:szCs w:val="20"/>
          <w:lang w:val="sr-Latn-BA"/>
        </w:rPr>
        <w:t xml:space="preserve"> </w:t>
      </w:r>
      <w:r>
        <w:rPr>
          <w:sz w:val="20"/>
          <w:szCs w:val="20"/>
          <w:lang w:val="zh-CN"/>
        </w:rPr>
        <w:t>ПВ – Практична вјежба</w:t>
      </w:r>
    </w:p>
    <w:p w14:paraId="3A002919">
      <w:pPr>
        <w:spacing w:before="80" w:after="0"/>
      </w:pPr>
      <w:r>
        <w:rPr>
          <w:sz w:val="20"/>
          <w:szCs w:val="20"/>
          <w:lang w:val="zh-CN"/>
        </w:rPr>
        <w:t>Г1, Г2, Г3, Г4 – Група прва, Група друга, Група трећа, Група четврта, Ч – Часова</w:t>
      </w:r>
    </w:p>
    <w:p w14:paraId="0419C20E">
      <w:pPr>
        <w:spacing w:before="80" w:after="0"/>
        <w:rPr>
          <w:sz w:val="20"/>
          <w:szCs w:val="20"/>
        </w:rPr>
      </w:pPr>
    </w:p>
    <w:p w14:paraId="28D564C4">
      <w:pPr>
        <w:spacing w:before="80" w:after="0"/>
        <w:rPr>
          <w:b/>
          <w:bCs/>
          <w:sz w:val="24"/>
          <w:szCs w:val="24"/>
          <w:lang w:val="zh-CN"/>
        </w:rPr>
      </w:pPr>
      <w:r>
        <w:rPr>
          <w:b/>
          <w:bCs/>
          <w:sz w:val="24"/>
          <w:szCs w:val="24"/>
          <w:lang w:val="zh-CN"/>
        </w:rPr>
        <w:t>Напомена: Вјежбе трају 1 час током зимског семестра, а одржаваће се у договору са одговорним наставником на УКЦ РС, ГАК</w:t>
      </w:r>
    </w:p>
    <w:p w14:paraId="23B1A446">
      <w:pPr>
        <w:spacing w:before="80" w:after="0"/>
        <w:rPr>
          <w:sz w:val="20"/>
          <w:szCs w:val="20"/>
        </w:rPr>
      </w:pPr>
    </w:p>
    <w:p w14:paraId="49B5A41C">
      <w:pPr>
        <w:spacing w:before="240" w:after="0"/>
        <w:jc w:val="right"/>
      </w:pPr>
      <w:r>
        <w:rPr>
          <w:sz w:val="20"/>
          <w:szCs w:val="20"/>
          <w:lang w:val="zh-CN"/>
        </w:rPr>
        <w:t xml:space="preserve">                    </w:t>
      </w:r>
      <w:r>
        <w:rPr>
          <w:b/>
          <w:szCs w:val="20"/>
          <w:lang w:val="zh-CN" w:eastAsia="zh-CN"/>
        </w:rPr>
        <w:t>Шеф катедре:</w:t>
      </w:r>
      <w:r>
        <w:rPr>
          <w:sz w:val="20"/>
          <w:szCs w:val="20"/>
          <w:lang w:val="zh-CN"/>
        </w:rPr>
        <w:t xml:space="preserve">  </w:t>
      </w:r>
      <w:r>
        <w:rPr>
          <w:b/>
          <w:szCs w:val="20"/>
          <w:lang w:val="zh-CN" w:eastAsia="zh-CN"/>
        </w:rPr>
        <w:t>Проф. др Бранка Чанчаревић Ђајић</w:t>
      </w:r>
    </w:p>
    <w:p w14:paraId="110C6C05">
      <w:pPr>
        <w:spacing w:before="80" w:after="0"/>
        <w:jc w:val="right"/>
        <w:rPr>
          <w:b/>
          <w:szCs w:val="20"/>
          <w:lang w:val="zh-CN" w:eastAsia="zh-CN"/>
        </w:rPr>
      </w:pPr>
    </w:p>
    <w:p w14:paraId="0A79AB6A">
      <w:pPr>
        <w:spacing w:before="80" w:after="0"/>
        <w:jc w:val="right"/>
        <w:rPr>
          <w:b/>
          <w:szCs w:val="20"/>
          <w:lang w:val="zh-CN" w:eastAsia="zh-CN"/>
        </w:rPr>
      </w:pPr>
    </w:p>
    <w:p w14:paraId="654008ED">
      <w:pPr>
        <w:spacing w:before="80" w:after="0"/>
        <w:jc w:val="right"/>
        <w:rPr>
          <w:b/>
          <w:szCs w:val="20"/>
          <w:lang w:val="zh-CN" w:eastAsia="zh-CN"/>
        </w:rPr>
      </w:pPr>
    </w:p>
    <w:p w14:paraId="1747C8CE">
      <w:pPr>
        <w:spacing w:before="240" w:after="0"/>
        <w:ind w:left="10800" w:firstLine="720"/>
        <w:jc w:val="right"/>
      </w:pPr>
    </w:p>
    <w:sectPr>
      <w:pgSz w:w="16838" w:h="11906" w:orient="landscape"/>
      <w:pgMar w:top="1134" w:right="1134" w:bottom="1134" w:left="1134" w:header="0" w:footer="0" w:gutter="0"/>
      <w:pgNumType w:fmt="decimal"/>
      <w:cols w:space="720" w:num="1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ans">
    <w:altName w:val="Arial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3F53B0C"/>
    <w:rsid w:val="73246E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jc w:val="left"/>
    </w:pPr>
    <w:rPr>
      <w:rFonts w:ascii="Times New Roman" w:hAnsi="Times New Roman" w:cs="等线" w:eastAsiaTheme="minorHAnsi"/>
      <w:color w:val="auto"/>
      <w:sz w:val="24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0"/>
    <w:pPr>
      <w:suppressLineNumbers/>
      <w:spacing w:before="120" w:after="120"/>
    </w:pPr>
    <w:rPr>
      <w:rFonts w:cs="FreeSans"/>
      <w:i/>
      <w:iCs/>
      <w:szCs w:val="24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ListLabel 1"/>
    <w:qFormat/>
    <w:uiPriority w:val="0"/>
    <w:rPr>
      <w:rFonts w:cs="Times New Roman"/>
    </w:rPr>
  </w:style>
  <w:style w:type="character" w:customStyle="1" w:styleId="7">
    <w:name w:val="ListLabel 2"/>
    <w:qFormat/>
    <w:uiPriority w:val="0"/>
    <w:rPr>
      <w:rFonts w:cs="Courier New"/>
    </w:rPr>
  </w:style>
  <w:style w:type="character" w:customStyle="1" w:styleId="8">
    <w:name w:val="ListLabel 3"/>
    <w:qFormat/>
    <w:uiPriority w:val="0"/>
    <w:rPr>
      <w:rFonts w:cs="Wingdings"/>
    </w:rPr>
  </w:style>
  <w:style w:type="character" w:customStyle="1" w:styleId="9">
    <w:name w:val="ListLabel 4"/>
    <w:qFormat/>
    <w:uiPriority w:val="0"/>
    <w:rPr>
      <w:rFonts w:cs="Symbol"/>
    </w:rPr>
  </w:style>
  <w:style w:type="paragraph" w:customStyle="1" w:styleId="10">
    <w:name w:val="Naslovljavanje"/>
    <w:basedOn w:val="1"/>
    <w:next w:val="11"/>
    <w:qFormat/>
    <w:uiPriority w:val="0"/>
    <w:pPr>
      <w:keepNext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customStyle="1" w:styleId="11">
    <w:name w:val="Telo teksta"/>
    <w:basedOn w:val="1"/>
    <w:qFormat/>
    <w:uiPriority w:val="0"/>
    <w:pPr>
      <w:spacing w:before="0" w:after="140" w:line="276" w:lineRule="auto"/>
    </w:pPr>
  </w:style>
  <w:style w:type="paragraph" w:customStyle="1" w:styleId="12">
    <w:name w:val="Lista"/>
    <w:basedOn w:val="11"/>
    <w:qFormat/>
    <w:uiPriority w:val="0"/>
    <w:rPr>
      <w:rFonts w:cs="FreeSans"/>
    </w:rPr>
  </w:style>
  <w:style w:type="paragraph" w:customStyle="1" w:styleId="13">
    <w:name w:val="Natpis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Indeks"/>
    <w:basedOn w:val="1"/>
    <w:qFormat/>
    <w:uiPriority w:val="0"/>
    <w:pPr>
      <w:suppressLineNumbers/>
    </w:pPr>
    <w:rPr>
      <w:rFonts w:cs="FreeSans"/>
    </w:rPr>
  </w:style>
  <w:style w:type="paragraph" w:styleId="15">
    <w:name w:val="List Paragraph"/>
    <w:basedOn w:val="1"/>
    <w:qFormat/>
    <w:uiPriority w:val="34"/>
    <w:pPr>
      <w:spacing w:before="0" w:after="0"/>
      <w:ind w:left="720" w:firstLine="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714</Words>
  <Characters>4245</Characters>
  <Paragraphs>197</Paragraphs>
  <TotalTime>18</TotalTime>
  <ScaleCrop>false</ScaleCrop>
  <LinksUpToDate>false</LinksUpToDate>
  <CharactersWithSpaces>5126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2025-10-24T14:19:00Z</dcterms:created>
  <dc:creator>Strain Posavljak</dc:creator>
  <cp:lastModifiedBy>viko2</cp:lastModifiedBy>
  <cp:lastPrinted>2024-10-05T18:37:00Z</cp:lastPrinted>
  <dcterms:modified xsi:type="dcterms:W3CDTF">2026-10-22T20:06:25Z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E0E20F4C19684105AC0017C9FCB6A347</vt:lpwstr>
  </property>
  <property fmtid="{D5CDD505-2E9C-101B-9397-08002B2CF9AE}" pid="6" name="KSOProductBuildVer">
    <vt:lpwstr>1033-12.1.0.29162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KSOTemplateDocerSaveRecord">
    <vt:lpwstr>eyJoZGlkIjoiZmZkMDdiMmI3ZGRlOTZmNzM3YjZkMjc1YWEyNjQyYjIifQ==</vt:lpwstr>
  </property>
</Properties>
</file>